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C25E00"/>
          <w:sz w:val="20"/>
        </w:rPr>
        <w:t>SAFETY EYE GUARD</w:t>
      </w:r>
    </w:p>
    <w:p>
      <w:pPr>
        <w:spacing w:after="40"/>
      </w:pPr>
      <w:r>
        <w:rPr>
          <w:b/>
          <w:color w:val="1F3B14"/>
          <w:sz w:val="48"/>
        </w:rPr>
        <w:t>Prescription Safety Eyewear Program</w:t>
      </w:r>
    </w:p>
    <w:p>
      <w:pPr>
        <w:spacing w:after="240"/>
      </w:pPr>
      <w:r>
        <w:rPr>
          <w:b w:val="0"/>
          <w:i w:val="0"/>
          <w:color w:val="595959"/>
          <w:sz w:val="34"/>
        </w:rPr>
        <w:t>Policy Template</w:t>
      </w:r>
    </w:p>
    <w:p>
      <w:pPr>
        <w:spacing w:after="200"/>
        <w:pBdr>
          <w:bottom w:val="single" w:sz="8" w:color="C9D4BF"/>
        </w:pBdr>
      </w:pPr>
    </w:p>
    <w:p>
      <w:pPr>
        <w:spacing w:after="200"/>
      </w:pPr>
      <w:r>
        <w:rPr>
          <w:b w:val="0"/>
          <w:i w:val="0"/>
          <w:sz w:val="22"/>
        </w:rPr>
        <w:t>A customisable written policy for employers running a company-funded prescription safety eyewear program. Replace every highlighted placeholder with your own detail, delete anything that does not apply, and have the finished policy reviewed by whoever owns EHS and HR at your organisation.</w:t>
      </w:r>
    </w:p>
    <w:p>
      <w:pPr>
        <w:keepNext/>
        <w:spacing w:before="120" w:after="120"/>
      </w:pPr>
      <w:r>
        <w:rPr>
          <w:b/>
          <w:color w:val="1F3B14"/>
          <w:sz w:val="26"/>
        </w:rPr>
        <w:t>How to use this template</w:t>
      </w:r>
    </w:p>
    <w:p>
      <w:pPr>
        <w:pStyle w:val="ListBullet"/>
        <w:spacing w:after="80"/>
      </w:pPr>
      <w:r>
        <w:rPr>
          <w:sz w:val="21"/>
        </w:rPr>
        <w:t>Placeholders appear like [COMPANY NAME] in orange. Every one needs replacing.</w:t>
      </w:r>
    </w:p>
    <w:p>
      <w:pPr>
        <w:pStyle w:val="ListBullet"/>
        <w:spacing w:after="80"/>
      </w:pPr>
      <w:r>
        <w:rPr>
          <w:sz w:val="21"/>
        </w:rPr>
        <w:t>Sections 3 and 6 carry the regulatory detail most policies get wrong - read those before editing.</w:t>
      </w:r>
    </w:p>
    <w:p>
      <w:pPr>
        <w:pStyle w:val="ListBullet"/>
        <w:spacing w:after="80"/>
      </w:pPr>
      <w:r>
        <w:rPr>
          <w:sz w:val="21"/>
        </w:rPr>
        <w:t>Appendix A is a hazard assessment worksheet. Complete one row per work area or task.</w:t>
      </w:r>
    </w:p>
    <w:p>
      <w:pPr>
        <w:pStyle w:val="ListBullet"/>
        <w:spacing w:after="80"/>
      </w:pPr>
      <w:r>
        <w:rPr>
          <w:sz w:val="21"/>
        </w:rPr>
        <w:t>This template is a drafting aid. It is not legal advice, and it does not replace your own hazard assessment or a review against the rules that apply to your sites.</w:t>
      </w:r>
    </w:p>
    <w:p>
      <w:pPr>
        <w:keepNext/>
        <w:spacing w:before="280" w:after="120"/>
      </w:pPr>
      <w:r>
        <w:rPr>
          <w:b/>
          <w:color w:val="1F3B14"/>
          <w:sz w:val="30"/>
        </w:rPr>
        <w:t>1. Purpose</w:t>
      </w:r>
    </w:p>
    <w:p>
      <w:pPr>
        <w:spacing w:after="120"/>
      </w:pPr>
      <w:r>
        <w:rPr>
          <w:sz w:val="21"/>
        </w:rPr>
        <w:t xml:space="preserve">The purpose of this policy is to protect the eyesight of employees at </w:t>
      </w:r>
      <w:r>
        <w:rPr>
          <w:b/>
          <w:color w:val="C25E00"/>
          <w:sz w:val="21"/>
        </w:rPr>
        <w:t>[COMPANY NAME]</w:t>
      </w:r>
      <w:r>
        <w:rPr>
          <w:sz w:val="21"/>
        </w:rPr>
        <w:t xml:space="preserve"> who require corrective lenses and who work in areas where eye hazards are present. It sets out who is eligible for prescription safety eyewear, what specification that eyewear must meet, how it is obtained and replaced, and how compliance is monitored.</w:t>
      </w:r>
    </w:p>
    <w:p>
      <w:pPr>
        <w:keepNext/>
        <w:spacing w:before="280" w:after="120"/>
      </w:pPr>
      <w:r>
        <w:rPr>
          <w:b/>
          <w:color w:val="1F3B14"/>
          <w:sz w:val="30"/>
        </w:rPr>
        <w:t>2. Scope</w:t>
      </w:r>
    </w:p>
    <w:p>
      <w:pPr>
        <w:spacing w:after="120"/>
      </w:pPr>
      <w:r>
        <w:rPr>
          <w:sz w:val="21"/>
        </w:rPr>
        <w:t xml:space="preserve">This policy applies to all employees, and to contractors and visitors where stated, at </w:t>
      </w:r>
      <w:r>
        <w:rPr>
          <w:b/>
          <w:color w:val="C25E00"/>
          <w:sz w:val="21"/>
        </w:rPr>
        <w:t>[SITE / LOCATION LIST]</w:t>
      </w:r>
      <w:r>
        <w:rPr>
          <w:sz w:val="21"/>
        </w:rPr>
        <w:t xml:space="preserve">. It covers prescription safety eyewear only. Non-prescription protective eyewear, face shields, welding helmets and laser eyewear are covered by </w:t>
      </w:r>
      <w:r>
        <w:rPr>
          <w:b/>
          <w:color w:val="C25E00"/>
          <w:sz w:val="21"/>
        </w:rPr>
        <w:t>[RELATED PPE POLICY REFERENCE]</w:t>
      </w:r>
      <w:r>
        <w:rPr>
          <w:sz w:val="21"/>
        </w:rPr>
        <w:t>.</w:t>
      </w:r>
    </w:p>
    <w:p>
      <w:pPr>
        <w:keepNext/>
        <w:spacing w:before="280" w:after="120"/>
      </w:pPr>
      <w:r>
        <w:rPr>
          <w:b/>
          <w:color w:val="1F3B14"/>
          <w:sz w:val="30"/>
        </w:rPr>
        <w:t>3. Regulatory basis</w:t>
      </w:r>
    </w:p>
    <w:p>
      <w:pPr>
        <w:spacing w:after="120"/>
      </w:pPr>
      <w:r>
        <w:rPr>
          <w:b w:val="0"/>
          <w:i w:val="0"/>
          <w:sz w:val="21"/>
        </w:rPr>
        <w:t>This policy is written to meet the following requirements. Confirm which apply to each of your sites.</w:t>
      </w:r>
    </w:p>
    <w:p>
      <w:pPr>
        <w:pStyle w:val="ListBullet"/>
        <w:spacing w:after="80"/>
      </w:pPr>
      <w:r>
        <w:rPr>
          <w:sz w:val="21"/>
        </w:rPr>
        <w:t>OSHA 29 CFR 1910.133 - eye and face protection, general industry.</w:t>
      </w:r>
    </w:p>
    <w:p>
      <w:pPr>
        <w:pStyle w:val="ListBullet"/>
        <w:spacing w:after="80"/>
      </w:pPr>
      <w:r>
        <w:rPr>
          <w:sz w:val="21"/>
        </w:rPr>
        <w:t>OSHA 29 CFR 1926.102 - eye and face protection, construction.</w:t>
      </w:r>
    </w:p>
    <w:p>
      <w:pPr>
        <w:pStyle w:val="ListBullet"/>
        <w:spacing w:after="80"/>
      </w:pPr>
      <w:r>
        <w:rPr>
          <w:sz w:val="21"/>
        </w:rPr>
        <w:t>OSHA 29 CFR 1910.132(d) - the employer must assess the workplace to determine whether hazards requiring PPE are present.</w:t>
      </w:r>
    </w:p>
    <w:p>
      <w:pPr>
        <w:pStyle w:val="ListBullet"/>
        <w:spacing w:after="80"/>
      </w:pPr>
      <w:r>
        <w:rPr>
          <w:sz w:val="21"/>
        </w:rPr>
        <w:t>ANSI/ISEA Z87.1 - the consensus standard defining performance and marking for eye and face protection.</w:t>
      </w:r>
    </w:p>
    <w:p>
      <w:pPr>
        <w:spacing w:after="80"/>
      </w:pPr>
      <w:r>
        <w:rPr>
          <w:b w:val="0"/>
          <w:i w:val="0"/>
          <w:sz w:val="21"/>
        </w:rPr>
        <w:t>Employees who wear prescription lenses and are exposed to eye hazards must either wear protective eyewear that incorporates their prescription, or wear protection that fits properly over their prescription eyewear without disturbing either item.</w:t>
      </w:r>
    </w:p>
    <w:p>
      <w:pPr>
        <w:spacing w:after="120"/>
      </w:pPr>
      <w:r>
        <w:rPr>
          <w:b/>
          <w:i w:val="0"/>
          <w:sz w:val="21"/>
        </w:rPr>
        <w:t>Prescription protective eyewear must be built on a frame marked Z87-2. Ordinary optical frames fitted with toughened lenses are not compliant, and clip-on side shields do not make them compliant.</w:t>
      </w:r>
    </w:p>
    <w:p>
      <w:pPr>
        <w:keepNext/>
        <w:spacing w:before="280" w:after="120"/>
      </w:pPr>
      <w:r>
        <w:rPr>
          <w:b/>
          <w:color w:val="1F3B14"/>
          <w:sz w:val="30"/>
        </w:rPr>
        <w:t>4. Definitions and markings</w:t>
      </w:r>
    </w:p>
    <w:p>
      <w:pPr>
        <w:spacing w:after="120"/>
      </w:pPr>
      <w:r>
        <w:rPr>
          <w:b w:val="0"/>
          <w:i w:val="0"/>
          <w:sz w:val="21"/>
        </w:rPr>
        <w:t>Markings are stamped on the frame and lens and are the practical way to verify compliance at point of issue.</w:t>
      </w:r>
    </w:p>
    <w:tbl>
      <w:tblPr>
        <w:tblW w:type="auto" w:w="0"/>
        <w:jc w:val="center"/>
        <w:tblLayout w:type="fixed"/>
        <w:tblLook w:firstColumn="1" w:firstRow="1" w:lastColumn="0" w:lastRow="0" w:noHBand="0" w:noVBand="1" w:val="04A0"/>
        <w:tblBorders>
          <w:top w:val="single" w:sz="4" w:color="C9D4BF"/>
          <w:left w:val="single" w:sz="4" w:color="C9D4BF"/>
          <w:bottom w:val="single" w:sz="4" w:color="C9D4BF"/>
          <w:right w:val="single" w:sz="4" w:color="C9D4BF"/>
          <w:insideH w:val="single" w:sz="4" w:color="C9D4BF"/>
          <w:insideV w:val="single" w:sz="4" w:color="C9D4BF"/>
        </w:tblBorders>
      </w:tblPr>
      <w:tblGrid>
        <w:gridCol w:w="3120"/>
        <w:gridCol w:w="3120"/>
        <w:gridCol w:w="3120"/>
      </w:tblGrid>
      <w:tr>
        <w:tc>
          <w:tcPr>
            <w:tcW w:type="dxa" w:w="1584"/>
            <w:shd w:val="clear" w:color="auto" w:fill="1F3B14"/>
          </w:tcPr>
          <w:p>
            <w:pPr>
              <w:spacing w:after="40"/>
            </w:pPr>
            <w:r/>
            <w:r>
              <w:rPr>
                <w:b/>
                <w:color w:val="FFFFFF"/>
                <w:sz w:val="19"/>
              </w:rPr>
              <w:t>Marking</w:t>
            </w:r>
          </w:p>
        </w:tc>
        <w:tc>
          <w:tcPr>
            <w:tcW w:type="dxa" w:w="3168"/>
            <w:shd w:val="clear" w:color="auto" w:fill="1F3B14"/>
          </w:tcPr>
          <w:p>
            <w:pPr>
              <w:spacing w:after="40"/>
            </w:pPr>
            <w:r/>
            <w:r>
              <w:rPr>
                <w:b/>
                <w:color w:val="FFFFFF"/>
                <w:sz w:val="19"/>
              </w:rPr>
              <w:t>Meaning</w:t>
            </w:r>
          </w:p>
        </w:tc>
        <w:tc>
          <w:tcPr>
            <w:tcW w:type="dxa" w:w="4608"/>
            <w:shd w:val="clear" w:color="auto" w:fill="1F3B14"/>
          </w:tcPr>
          <w:p>
            <w:pPr>
              <w:spacing w:after="40"/>
            </w:pPr>
            <w:r/>
            <w:r>
              <w:rPr>
                <w:b/>
                <w:color w:val="FFFFFF"/>
                <w:sz w:val="19"/>
              </w:rPr>
              <w:t>When it is required</w:t>
            </w:r>
          </w:p>
        </w:tc>
      </w:tr>
      <w:tr>
        <w:tc>
          <w:tcPr>
            <w:tcW w:type="dxa" w:w="1584"/>
          </w:tcPr>
          <w:p>
            <w:pPr>
              <w:spacing w:after="40"/>
            </w:pPr>
            <w:r/>
            <w:r>
              <w:rPr>
                <w:sz w:val="19"/>
              </w:rPr>
              <w:t>Z87</w:t>
            </w:r>
          </w:p>
        </w:tc>
        <w:tc>
          <w:tcPr>
            <w:tcW w:type="dxa" w:w="3168"/>
          </w:tcPr>
          <w:p>
            <w:pPr>
              <w:spacing w:after="40"/>
            </w:pPr>
            <w:r/>
            <w:r>
              <w:rPr>
                <w:sz w:val="19"/>
              </w:rPr>
              <w:t>Basic impact rating</w:t>
            </w:r>
          </w:p>
        </w:tc>
        <w:tc>
          <w:tcPr>
            <w:tcW w:type="dxa" w:w="4608"/>
          </w:tcPr>
          <w:p>
            <w:pPr>
              <w:spacing w:after="40"/>
            </w:pPr>
            <w:r/>
            <w:r>
              <w:rPr>
                <w:sz w:val="19"/>
              </w:rPr>
              <w:t>Minimum for general eye hazard areas</w:t>
            </w:r>
          </w:p>
        </w:tc>
      </w:tr>
      <w:tr>
        <w:tc>
          <w:tcPr>
            <w:tcW w:type="dxa" w:w="1584"/>
            <w:shd w:val="clear" w:color="auto" w:fill="F2F5EF"/>
          </w:tcPr>
          <w:p>
            <w:pPr>
              <w:spacing w:after="40"/>
            </w:pPr>
            <w:r/>
            <w:r>
              <w:rPr>
                <w:sz w:val="19"/>
              </w:rPr>
              <w:t>Z87+</w:t>
            </w:r>
          </w:p>
        </w:tc>
        <w:tc>
          <w:tcPr>
            <w:tcW w:type="dxa" w:w="3168"/>
            <w:shd w:val="clear" w:color="auto" w:fill="F2F5EF"/>
          </w:tcPr>
          <w:p>
            <w:pPr>
              <w:spacing w:after="40"/>
            </w:pPr>
            <w:r/>
            <w:r>
              <w:rPr>
                <w:sz w:val="19"/>
              </w:rPr>
              <w:t>High impact rating</w:t>
            </w:r>
          </w:p>
        </w:tc>
        <w:tc>
          <w:tcPr>
            <w:tcW w:type="dxa" w:w="4608"/>
            <w:shd w:val="clear" w:color="auto" w:fill="F2F5EF"/>
          </w:tcPr>
          <w:p>
            <w:pPr>
              <w:spacing w:after="40"/>
            </w:pPr>
            <w:r/>
            <w:r>
              <w:rPr>
                <w:sz w:val="19"/>
              </w:rPr>
              <w:t>Flying particles, grinding, chipping, fastening</w:t>
            </w:r>
          </w:p>
        </w:tc>
      </w:tr>
      <w:tr>
        <w:tc>
          <w:tcPr>
            <w:tcW w:type="dxa" w:w="1584"/>
          </w:tcPr>
          <w:p>
            <w:pPr>
              <w:spacing w:after="40"/>
            </w:pPr>
            <w:r/>
            <w:r>
              <w:rPr>
                <w:sz w:val="19"/>
              </w:rPr>
              <w:t>Z87-2</w:t>
            </w:r>
          </w:p>
        </w:tc>
        <w:tc>
          <w:tcPr>
            <w:tcW w:type="dxa" w:w="3168"/>
          </w:tcPr>
          <w:p>
            <w:pPr>
              <w:spacing w:after="40"/>
            </w:pPr>
            <w:r/>
            <w:r>
              <w:rPr>
                <w:sz w:val="19"/>
              </w:rPr>
              <w:t>Prescription frame marking</w:t>
            </w:r>
          </w:p>
        </w:tc>
        <w:tc>
          <w:tcPr>
            <w:tcW w:type="dxa" w:w="4608"/>
          </w:tcPr>
          <w:p>
            <w:pPr>
              <w:spacing w:after="40"/>
            </w:pPr>
            <w:r/>
            <w:r>
              <w:rPr>
                <w:sz w:val="19"/>
              </w:rPr>
              <w:t>All prescription protective eyewear, without exception</w:t>
            </w:r>
          </w:p>
        </w:tc>
      </w:tr>
      <w:tr>
        <w:tc>
          <w:tcPr>
            <w:tcW w:type="dxa" w:w="1584"/>
            <w:shd w:val="clear" w:color="auto" w:fill="F2F5EF"/>
          </w:tcPr>
          <w:p>
            <w:pPr>
              <w:spacing w:after="40"/>
            </w:pPr>
            <w:r/>
            <w:r>
              <w:rPr>
                <w:sz w:val="19"/>
              </w:rPr>
              <w:t>D3</w:t>
            </w:r>
          </w:p>
        </w:tc>
        <w:tc>
          <w:tcPr>
            <w:tcW w:type="dxa" w:w="3168"/>
            <w:shd w:val="clear" w:color="auto" w:fill="F2F5EF"/>
          </w:tcPr>
          <w:p>
            <w:pPr>
              <w:spacing w:after="40"/>
            </w:pPr>
            <w:r/>
            <w:r>
              <w:rPr>
                <w:sz w:val="19"/>
              </w:rPr>
              <w:t>Splash and droplet</w:t>
            </w:r>
          </w:p>
        </w:tc>
        <w:tc>
          <w:tcPr>
            <w:tcW w:type="dxa" w:w="4608"/>
            <w:shd w:val="clear" w:color="auto" w:fill="F2F5EF"/>
          </w:tcPr>
          <w:p>
            <w:pPr>
              <w:spacing w:after="40"/>
            </w:pPr>
            <w:r/>
            <w:r>
              <w:rPr>
                <w:sz w:val="19"/>
              </w:rPr>
              <w:t>Chemicals, solvents, fluids, sanitation chemistry</w:t>
            </w:r>
          </w:p>
        </w:tc>
      </w:tr>
      <w:tr>
        <w:tc>
          <w:tcPr>
            <w:tcW w:type="dxa" w:w="1584"/>
          </w:tcPr>
          <w:p>
            <w:pPr>
              <w:spacing w:after="40"/>
            </w:pPr>
            <w:r/>
            <w:r>
              <w:rPr>
                <w:sz w:val="19"/>
              </w:rPr>
              <w:t>D4</w:t>
            </w:r>
          </w:p>
        </w:tc>
        <w:tc>
          <w:tcPr>
            <w:tcW w:type="dxa" w:w="3168"/>
          </w:tcPr>
          <w:p>
            <w:pPr>
              <w:spacing w:after="40"/>
            </w:pPr>
            <w:r/>
            <w:r>
              <w:rPr>
                <w:sz w:val="19"/>
              </w:rPr>
              <w:t>Dust</w:t>
            </w:r>
          </w:p>
        </w:tc>
        <w:tc>
          <w:tcPr>
            <w:tcW w:type="dxa" w:w="4608"/>
          </w:tcPr>
          <w:p>
            <w:pPr>
              <w:spacing w:after="40"/>
            </w:pPr>
            <w:r/>
            <w:r>
              <w:rPr>
                <w:sz w:val="19"/>
              </w:rPr>
              <w:t>Airborne particulate, drilling, dry material handling</w:t>
            </w:r>
          </w:p>
        </w:tc>
      </w:tr>
      <w:tr>
        <w:tc>
          <w:tcPr>
            <w:tcW w:type="dxa" w:w="1584"/>
            <w:shd w:val="clear" w:color="auto" w:fill="F2F5EF"/>
          </w:tcPr>
          <w:p>
            <w:pPr>
              <w:spacing w:after="40"/>
            </w:pPr>
            <w:r/>
            <w:r>
              <w:rPr>
                <w:sz w:val="19"/>
              </w:rPr>
              <w:t>D5</w:t>
            </w:r>
          </w:p>
        </w:tc>
        <w:tc>
          <w:tcPr>
            <w:tcW w:type="dxa" w:w="3168"/>
            <w:shd w:val="clear" w:color="auto" w:fill="F2F5EF"/>
          </w:tcPr>
          <w:p>
            <w:pPr>
              <w:spacing w:after="40"/>
            </w:pPr>
            <w:r/>
            <w:r>
              <w:rPr>
                <w:sz w:val="19"/>
              </w:rPr>
              <w:t>Fine dust</w:t>
            </w:r>
          </w:p>
        </w:tc>
        <w:tc>
          <w:tcPr>
            <w:tcW w:type="dxa" w:w="4608"/>
            <w:shd w:val="clear" w:color="auto" w:fill="F2F5EF"/>
          </w:tcPr>
          <w:p>
            <w:pPr>
              <w:spacing w:after="40"/>
            </w:pPr>
            <w:r/>
            <w:r>
              <w:rPr>
                <w:sz w:val="19"/>
              </w:rPr>
              <w:t>Fine or continuous particulate exposure</w:t>
            </w:r>
          </w:p>
        </w:tc>
      </w:tr>
      <w:tr>
        <w:tc>
          <w:tcPr>
            <w:tcW w:type="dxa" w:w="1584"/>
          </w:tcPr>
          <w:p>
            <w:pPr>
              <w:spacing w:after="40"/>
            </w:pPr>
            <w:r/>
            <w:r>
              <w:rPr>
                <w:sz w:val="19"/>
              </w:rPr>
              <w:t>W + shade no.</w:t>
            </w:r>
          </w:p>
        </w:tc>
        <w:tc>
          <w:tcPr>
            <w:tcW w:type="dxa" w:w="3168"/>
          </w:tcPr>
          <w:p>
            <w:pPr>
              <w:spacing w:after="40"/>
            </w:pPr>
            <w:r/>
            <w:r>
              <w:rPr>
                <w:sz w:val="19"/>
              </w:rPr>
              <w:t>Welding filter shade</w:t>
            </w:r>
          </w:p>
        </w:tc>
        <w:tc>
          <w:tcPr>
            <w:tcW w:type="dxa" w:w="4608"/>
          </w:tcPr>
          <w:p>
            <w:pPr>
              <w:spacing w:after="40"/>
            </w:pPr>
            <w:r/>
            <w:r>
              <w:rPr>
                <w:sz w:val="19"/>
              </w:rPr>
              <w:t>Welding, cutting and brazing, shade matched to process</w:t>
            </w:r>
          </w:p>
        </w:tc>
      </w:tr>
      <w:tr>
        <w:tc>
          <w:tcPr>
            <w:tcW w:type="dxa" w:w="1584"/>
            <w:shd w:val="clear" w:color="auto" w:fill="F2F5EF"/>
          </w:tcPr>
          <w:p>
            <w:pPr>
              <w:spacing w:after="40"/>
            </w:pPr>
            <w:r/>
            <w:r>
              <w:rPr>
                <w:sz w:val="19"/>
              </w:rPr>
              <w:t>U + scale no.</w:t>
            </w:r>
          </w:p>
        </w:tc>
        <w:tc>
          <w:tcPr>
            <w:tcW w:type="dxa" w:w="3168"/>
            <w:shd w:val="clear" w:color="auto" w:fill="F2F5EF"/>
          </w:tcPr>
          <w:p>
            <w:pPr>
              <w:spacing w:after="40"/>
            </w:pPr>
            <w:r/>
            <w:r>
              <w:rPr>
                <w:sz w:val="19"/>
              </w:rPr>
              <w:t>UV filter scale</w:t>
            </w:r>
          </w:p>
        </w:tc>
        <w:tc>
          <w:tcPr>
            <w:tcW w:type="dxa" w:w="4608"/>
            <w:shd w:val="clear" w:color="auto" w:fill="F2F5EF"/>
          </w:tcPr>
          <w:p>
            <w:pPr>
              <w:spacing w:after="40"/>
            </w:pPr>
            <w:r/>
            <w:r>
              <w:rPr>
                <w:sz w:val="19"/>
              </w:rPr>
              <w:t>Sustained outdoor work</w:t>
            </w:r>
          </w:p>
        </w:tc>
      </w:tr>
    </w:tbl>
    <w:p>
      <w:pPr>
        <w:spacing w:after="80"/>
      </w:pPr>
    </w:p>
    <w:p>
      <w:pPr>
        <w:keepNext/>
        <w:spacing w:before="280" w:after="120"/>
      </w:pPr>
      <w:r>
        <w:rPr>
          <w:b/>
          <w:color w:val="1F3B14"/>
          <w:sz w:val="30"/>
        </w:rPr>
        <w:t>5. Eligibility</w:t>
      </w:r>
    </w:p>
    <w:p>
      <w:pPr>
        <w:spacing w:after="120"/>
      </w:pPr>
      <w:r>
        <w:rPr>
          <w:sz w:val="21"/>
        </w:rPr>
        <w:t xml:space="preserve">An employee is eligible under this policy where both of the following are true: they hold a current prescription for corrective lenses, and their role requires them to enter or work in an area identified in the hazard assessment as requiring eye protection. Eligibility is confirmed by </w:t>
      </w:r>
      <w:r>
        <w:rPr>
          <w:b/>
          <w:color w:val="C25E00"/>
          <w:sz w:val="21"/>
        </w:rPr>
        <w:t>[ROLE RESPONSIBLE - e.g. EHS Manager]</w:t>
      </w:r>
      <w:r>
        <w:rPr>
          <w:sz w:val="21"/>
        </w:rPr>
        <w:t>.</w:t>
      </w:r>
    </w:p>
    <w:p>
      <w:pPr>
        <w:spacing w:after="120"/>
      </w:pPr>
      <w:r>
        <w:rPr>
          <w:sz w:val="21"/>
        </w:rPr>
        <w:t xml:space="preserve">Contractors and visitors entering hazard areas </w:t>
      </w:r>
      <w:r>
        <w:rPr>
          <w:b/>
          <w:color w:val="C25E00"/>
          <w:sz w:val="21"/>
        </w:rPr>
        <w:t>[ARE / ARE NOT]</w:t>
      </w:r>
      <w:r>
        <w:rPr>
          <w:sz w:val="21"/>
        </w:rPr>
        <w:t xml:space="preserve"> covered by this policy and must </w:t>
      </w:r>
      <w:r>
        <w:rPr>
          <w:b/>
          <w:color w:val="C25E00"/>
          <w:sz w:val="21"/>
        </w:rPr>
        <w:t>[PROVIDE THEIR OWN COMPLIANT EYEWEAR / BE ISSUED EYEWEAR ON ARRIVAL]</w:t>
      </w:r>
      <w:r>
        <w:rPr>
          <w:sz w:val="21"/>
        </w:rPr>
        <w:t>.</w:t>
      </w:r>
    </w:p>
    <w:p>
      <w:pPr>
        <w:keepNext/>
        <w:spacing w:before="280" w:after="120"/>
      </w:pPr>
      <w:r>
        <w:rPr>
          <w:b/>
          <w:color w:val="1F3B14"/>
          <w:sz w:val="30"/>
        </w:rPr>
        <w:t>6. Cost and payment</w:t>
      </w:r>
    </w:p>
    <w:p>
      <w:pPr>
        <w:spacing w:after="80"/>
      </w:pPr>
      <w:r>
        <w:rPr>
          <w:b w:val="0"/>
          <w:i w:val="0"/>
          <w:sz w:val="21"/>
        </w:rPr>
        <w:t>Under OSHA 29 CFR 1910.132(h) the employer must pay for required PPE. There is one specific exemption relevant to this policy: the employer is not required to pay for non-specialty prescription safety eyewear, provided the employer permits such eyewear to be worn off the job site.</w:t>
      </w:r>
    </w:p>
    <w:p>
      <w:pPr>
        <w:spacing w:after="80"/>
      </w:pPr>
      <w:r>
        <w:rPr>
          <w:b w:val="0"/>
          <w:i w:val="0"/>
          <w:sz w:val="21"/>
        </w:rPr>
        <w:t>Specialty eyewear - prescription inserts, sealed or gasketed frames, welding filters, and any eyewear that cannot reasonably be worn away from site - is not covered by that exemption and remains employer-paid.</w:t>
      </w:r>
    </w:p>
    <w:p>
      <w:pPr>
        <w:spacing w:after="120"/>
      </w:pPr>
      <w:r>
        <w:rPr>
          <w:b/>
          <w:color w:val="C25E00"/>
          <w:sz w:val="21"/>
        </w:rPr>
        <w:t>[COMPANY NAME]</w:t>
      </w:r>
      <w:r>
        <w:rPr>
          <w:sz w:val="21"/>
        </w:rPr>
        <w:t xml:space="preserve"> will fund prescription safety eyewear as follows: an allowance of </w:t>
      </w:r>
      <w:r>
        <w:rPr>
          <w:b/>
          <w:color w:val="C25E00"/>
          <w:sz w:val="21"/>
        </w:rPr>
        <w:t>[AMOUNT]</w:t>
      </w:r>
      <w:r>
        <w:rPr>
          <w:sz w:val="21"/>
        </w:rPr>
        <w:t xml:space="preserve"> per eligible employee every </w:t>
      </w:r>
      <w:r>
        <w:rPr>
          <w:b/>
          <w:color w:val="C25E00"/>
          <w:sz w:val="21"/>
        </w:rPr>
        <w:t>[PERIOD]</w:t>
      </w:r>
      <w:r>
        <w:rPr>
          <w:sz w:val="21"/>
        </w:rPr>
        <w:t xml:space="preserve">, covering </w:t>
      </w:r>
      <w:r>
        <w:rPr>
          <w:b/>
          <w:color w:val="C25E00"/>
          <w:sz w:val="21"/>
        </w:rPr>
        <w:t>[WHAT IS INCLUDED - frame, lenses, coatings]</w:t>
      </w:r>
      <w:r>
        <w:rPr>
          <w:sz w:val="21"/>
        </w:rPr>
        <w:t xml:space="preserve">. Costs above the allowance are </w:t>
      </w:r>
      <w:r>
        <w:rPr>
          <w:b/>
          <w:color w:val="C25E00"/>
          <w:sz w:val="21"/>
        </w:rPr>
        <w:t>[EMPLOYEE-FUNDED / APPROVED CASE BY CASE]</w:t>
      </w:r>
      <w:r>
        <w:rPr>
          <w:sz w:val="21"/>
        </w:rPr>
        <w:t>.</w:t>
      </w:r>
    </w:p>
    <w:p>
      <w:pPr>
        <w:spacing w:after="120"/>
      </w:pPr>
      <w:r>
        <w:rPr>
          <w:b w:val="0"/>
          <w:i/>
          <w:color w:val="595959"/>
          <w:sz w:val="21"/>
        </w:rPr>
        <w:t>Note for drafting: a funded allowance is generally recommended even where the exemption applies, because cost is the most common reason employees continue wearing non-compliant personal eyewear.</w:t>
      </w:r>
    </w:p>
    <w:p>
      <w:pPr>
        <w:keepNext/>
        <w:spacing w:before="280" w:after="120"/>
      </w:pPr>
      <w:r>
        <w:rPr>
          <w:b/>
          <w:color w:val="1F3B14"/>
          <w:sz w:val="30"/>
        </w:rPr>
        <w:t>7. Prescriptions and eye examinations</w:t>
      </w:r>
    </w:p>
    <w:p>
      <w:pPr>
        <w:spacing w:after="120"/>
      </w:pPr>
      <w:r>
        <w:rPr>
          <w:sz w:val="21"/>
        </w:rPr>
        <w:t xml:space="preserve">Employees must supply a current prescription, dated within </w:t>
      </w:r>
      <w:r>
        <w:rPr>
          <w:b/>
          <w:color w:val="C25E00"/>
          <w:sz w:val="21"/>
        </w:rPr>
        <w:t>[NUMBER]</w:t>
      </w:r>
      <w:r>
        <w:rPr>
          <w:sz w:val="21"/>
        </w:rPr>
        <w:t xml:space="preserve"> months. </w:t>
      </w:r>
      <w:r>
        <w:rPr>
          <w:b/>
          <w:color w:val="C25E00"/>
          <w:sz w:val="21"/>
        </w:rPr>
        <w:t>[COMPANY NAME]</w:t>
      </w:r>
      <w:r>
        <w:rPr>
          <w:sz w:val="21"/>
        </w:rPr>
        <w:t xml:space="preserve"> </w:t>
      </w:r>
      <w:r>
        <w:rPr>
          <w:b/>
          <w:color w:val="C25E00"/>
          <w:sz w:val="21"/>
        </w:rPr>
        <w:t>[DOES / DOES NOT]</w:t>
      </w:r>
      <w:r>
        <w:rPr>
          <w:sz w:val="21"/>
        </w:rPr>
        <w:t xml:space="preserve"> fund the eye examination itself. Prescriptions are re-confirmed every </w:t>
      </w:r>
      <w:r>
        <w:rPr>
          <w:b/>
          <w:color w:val="C25E00"/>
          <w:sz w:val="21"/>
        </w:rPr>
        <w:t>[PERIOD]</w:t>
      </w:r>
      <w:r>
        <w:rPr>
          <w:sz w:val="21"/>
        </w:rPr>
        <w:t>, or sooner where an employee reports a change in vision.</w:t>
      </w:r>
    </w:p>
    <w:p>
      <w:pPr>
        <w:pStyle w:val="ListBullet"/>
        <w:spacing w:after="80"/>
      </w:pPr>
      <w:r>
        <w:rPr>
          <w:sz w:val="21"/>
        </w:rPr>
        <w:t>Employees must report any change in vision that affects their ability to work safely.</w:t>
      </w:r>
    </w:p>
    <w:p>
      <w:pPr>
        <w:pStyle w:val="ListBullet"/>
        <w:spacing w:after="80"/>
      </w:pPr>
      <w:r>
        <w:rPr>
          <w:sz w:val="21"/>
        </w:rPr>
        <w:t>Pupillary distance is required in addition to the prescription for accurate lens fitting.</w:t>
      </w:r>
    </w:p>
    <w:p>
      <w:pPr>
        <w:pStyle w:val="ListBullet"/>
        <w:spacing w:after="80"/>
      </w:pPr>
      <w:r>
        <w:rPr>
          <w:sz w:val="21"/>
        </w:rPr>
        <w:t>Employees requiring progressive or multifocal lenses should declare the tasks involved, as standard progressive designs perform poorly for overhead work.</w:t>
      </w:r>
    </w:p>
    <w:p>
      <w:pPr>
        <w:keepNext/>
        <w:spacing w:before="280" w:after="120"/>
      </w:pPr>
      <w:r>
        <w:rPr>
          <w:b/>
          <w:color w:val="1F3B14"/>
          <w:sz w:val="30"/>
        </w:rPr>
        <w:t>8. Eyewear specification by hazard</w:t>
      </w:r>
    </w:p>
    <w:p>
      <w:pPr>
        <w:spacing w:after="120"/>
      </w:pPr>
      <w:r>
        <w:rPr>
          <w:b w:val="0"/>
          <w:i w:val="0"/>
          <w:sz w:val="21"/>
        </w:rPr>
        <w:t>The specification below is the minimum for each hazard type. Where more than one hazard is present, the requirements combine.</w:t>
      </w:r>
    </w:p>
    <w:tbl>
      <w:tblPr>
        <w:tblW w:type="auto" w:w="0"/>
        <w:jc w:val="center"/>
        <w:tblLayout w:type="fixed"/>
        <w:tblLook w:firstColumn="1" w:firstRow="1" w:lastColumn="0" w:lastRow="0" w:noHBand="0" w:noVBand="1" w:val="04A0"/>
        <w:tblBorders>
          <w:top w:val="single" w:sz="4" w:color="C9D4BF"/>
          <w:left w:val="single" w:sz="4" w:color="C9D4BF"/>
          <w:bottom w:val="single" w:sz="4" w:color="C9D4BF"/>
          <w:right w:val="single" w:sz="4" w:color="C9D4BF"/>
          <w:insideH w:val="single" w:sz="4" w:color="C9D4BF"/>
          <w:insideV w:val="single" w:sz="4" w:color="C9D4BF"/>
        </w:tblBorders>
      </w:tblPr>
      <w:tblGrid>
        <w:gridCol w:w="3120"/>
        <w:gridCol w:w="3120"/>
        <w:gridCol w:w="3120"/>
      </w:tblGrid>
      <w:tr>
        <w:tc>
          <w:tcPr>
            <w:tcW w:type="dxa" w:w="2880"/>
            <w:shd w:val="clear" w:color="auto" w:fill="1F3B14"/>
          </w:tcPr>
          <w:p>
            <w:pPr>
              <w:spacing w:after="40"/>
            </w:pPr>
            <w:r/>
            <w:r>
              <w:rPr>
                <w:b/>
                <w:color w:val="FFFFFF"/>
                <w:sz w:val="19"/>
              </w:rPr>
              <w:t>Hazard present</w:t>
            </w:r>
          </w:p>
        </w:tc>
        <w:tc>
          <w:tcPr>
            <w:tcW w:type="dxa" w:w="1728"/>
            <w:shd w:val="clear" w:color="auto" w:fill="1F3B14"/>
          </w:tcPr>
          <w:p>
            <w:pPr>
              <w:spacing w:after="40"/>
            </w:pPr>
            <w:r/>
            <w:r>
              <w:rPr>
                <w:b/>
                <w:color w:val="FFFFFF"/>
                <w:sz w:val="19"/>
              </w:rPr>
              <w:t>Minimum marking</w:t>
            </w:r>
          </w:p>
        </w:tc>
        <w:tc>
          <w:tcPr>
            <w:tcW w:type="dxa" w:w="4752"/>
            <w:shd w:val="clear" w:color="auto" w:fill="1F3B14"/>
          </w:tcPr>
          <w:p>
            <w:pPr>
              <w:spacing w:after="40"/>
            </w:pPr>
            <w:r/>
            <w:r>
              <w:rPr>
                <w:b/>
                <w:color w:val="FFFFFF"/>
                <w:sz w:val="19"/>
              </w:rPr>
              <w:t>Specification notes</w:t>
            </w:r>
          </w:p>
        </w:tc>
      </w:tr>
      <w:tr>
        <w:tc>
          <w:tcPr>
            <w:tcW w:type="dxa" w:w="2880"/>
          </w:tcPr>
          <w:p>
            <w:pPr>
              <w:spacing w:after="40"/>
            </w:pPr>
            <w:r/>
            <w:r>
              <w:rPr>
                <w:sz w:val="19"/>
              </w:rPr>
              <w:t>Flying particles, grinding, chipping</w:t>
            </w:r>
          </w:p>
        </w:tc>
        <w:tc>
          <w:tcPr>
            <w:tcW w:type="dxa" w:w="1728"/>
          </w:tcPr>
          <w:p>
            <w:pPr>
              <w:spacing w:after="40"/>
            </w:pPr>
            <w:r/>
            <w:r>
              <w:rPr>
                <w:sz w:val="19"/>
              </w:rPr>
              <w:t>Z87+</w:t>
            </w:r>
          </w:p>
        </w:tc>
        <w:tc>
          <w:tcPr>
            <w:tcW w:type="dxa" w:w="4752"/>
          </w:tcPr>
          <w:p>
            <w:pPr>
              <w:spacing w:after="40"/>
            </w:pPr>
            <w:r/>
            <w:r>
              <w:rPr>
                <w:sz w:val="19"/>
              </w:rPr>
              <w:t>Polycarbonate lens with permanent side protection</w:t>
            </w:r>
          </w:p>
        </w:tc>
      </w:tr>
      <w:tr>
        <w:tc>
          <w:tcPr>
            <w:tcW w:type="dxa" w:w="2880"/>
            <w:shd w:val="clear" w:color="auto" w:fill="F2F5EF"/>
          </w:tcPr>
          <w:p>
            <w:pPr>
              <w:spacing w:after="40"/>
            </w:pPr>
            <w:r/>
            <w:r>
              <w:rPr>
                <w:sz w:val="19"/>
              </w:rPr>
              <w:t>Chemical or fluid splash</w:t>
            </w:r>
          </w:p>
        </w:tc>
        <w:tc>
          <w:tcPr>
            <w:tcW w:type="dxa" w:w="1728"/>
            <w:shd w:val="clear" w:color="auto" w:fill="F2F5EF"/>
          </w:tcPr>
          <w:p>
            <w:pPr>
              <w:spacing w:after="40"/>
            </w:pPr>
            <w:r/>
            <w:r>
              <w:rPr>
                <w:sz w:val="19"/>
              </w:rPr>
              <w:t>Z87+ / D3</w:t>
            </w:r>
          </w:p>
        </w:tc>
        <w:tc>
          <w:tcPr>
            <w:tcW w:type="dxa" w:w="4752"/>
            <w:shd w:val="clear" w:color="auto" w:fill="F2F5EF"/>
          </w:tcPr>
          <w:p>
            <w:pPr>
              <w:spacing w:after="40"/>
            </w:pPr>
            <w:r/>
            <w:r>
              <w:rPr>
                <w:sz w:val="19"/>
              </w:rPr>
              <w:t>Sealed frame, or goggle over prescription eyewear for high-risk transfers</w:t>
            </w:r>
          </w:p>
        </w:tc>
      </w:tr>
      <w:tr>
        <w:tc>
          <w:tcPr>
            <w:tcW w:type="dxa" w:w="2880"/>
          </w:tcPr>
          <w:p>
            <w:pPr>
              <w:spacing w:after="40"/>
            </w:pPr>
            <w:r/>
            <w:r>
              <w:rPr>
                <w:sz w:val="19"/>
              </w:rPr>
              <w:t>Airborne dust</w:t>
            </w:r>
          </w:p>
        </w:tc>
        <w:tc>
          <w:tcPr>
            <w:tcW w:type="dxa" w:w="1728"/>
          </w:tcPr>
          <w:p>
            <w:pPr>
              <w:spacing w:after="40"/>
            </w:pPr>
            <w:r/>
            <w:r>
              <w:rPr>
                <w:sz w:val="19"/>
              </w:rPr>
              <w:t>Z87+ / D4</w:t>
            </w:r>
          </w:p>
        </w:tc>
        <w:tc>
          <w:tcPr>
            <w:tcW w:type="dxa" w:w="4752"/>
          </w:tcPr>
          <w:p>
            <w:pPr>
              <w:spacing w:after="40"/>
            </w:pPr>
            <w:r/>
            <w:r>
              <w:rPr>
                <w:sz w:val="19"/>
              </w:rPr>
              <w:t>Foam-gasketed or wrap frame maintaining a seal</w:t>
            </w:r>
          </w:p>
        </w:tc>
      </w:tr>
      <w:tr>
        <w:tc>
          <w:tcPr>
            <w:tcW w:type="dxa" w:w="2880"/>
            <w:shd w:val="clear" w:color="auto" w:fill="F2F5EF"/>
          </w:tcPr>
          <w:p>
            <w:pPr>
              <w:spacing w:after="40"/>
            </w:pPr>
            <w:r/>
            <w:r>
              <w:rPr>
                <w:sz w:val="19"/>
              </w:rPr>
              <w:t>Fine or continuous particulate</w:t>
            </w:r>
          </w:p>
        </w:tc>
        <w:tc>
          <w:tcPr>
            <w:tcW w:type="dxa" w:w="1728"/>
            <w:shd w:val="clear" w:color="auto" w:fill="F2F5EF"/>
          </w:tcPr>
          <w:p>
            <w:pPr>
              <w:spacing w:after="40"/>
            </w:pPr>
            <w:r/>
            <w:r>
              <w:rPr>
                <w:sz w:val="19"/>
              </w:rPr>
              <w:t>Z87+ / D5</w:t>
            </w:r>
          </w:p>
        </w:tc>
        <w:tc>
          <w:tcPr>
            <w:tcW w:type="dxa" w:w="4752"/>
            <w:shd w:val="clear" w:color="auto" w:fill="F2F5EF"/>
          </w:tcPr>
          <w:p>
            <w:pPr>
              <w:spacing w:after="40"/>
            </w:pPr>
            <w:r/>
            <w:r>
              <w:rPr>
                <w:sz w:val="19"/>
              </w:rPr>
              <w:t>Fully sealed frame; anti-fog essential due to restricted airflow</w:t>
            </w:r>
          </w:p>
        </w:tc>
      </w:tr>
      <w:tr>
        <w:tc>
          <w:tcPr>
            <w:tcW w:type="dxa" w:w="2880"/>
          </w:tcPr>
          <w:p>
            <w:pPr>
              <w:spacing w:after="40"/>
            </w:pPr>
            <w:r/>
            <w:r>
              <w:rPr>
                <w:sz w:val="19"/>
              </w:rPr>
              <w:t>Welding, cutting, brazing</w:t>
            </w:r>
          </w:p>
        </w:tc>
        <w:tc>
          <w:tcPr>
            <w:tcW w:type="dxa" w:w="1728"/>
          </w:tcPr>
          <w:p>
            <w:pPr>
              <w:spacing w:after="40"/>
            </w:pPr>
            <w:r/>
            <w:r>
              <w:rPr>
                <w:sz w:val="19"/>
              </w:rPr>
              <w:t>W + shade</w:t>
            </w:r>
          </w:p>
        </w:tc>
        <w:tc>
          <w:tcPr>
            <w:tcW w:type="dxa" w:w="4752"/>
          </w:tcPr>
          <w:p>
            <w:pPr>
              <w:spacing w:after="40"/>
            </w:pPr>
            <w:r/>
            <w:r>
              <w:rPr>
                <w:sz w:val="19"/>
              </w:rPr>
              <w:t>Filter shade matched to process and amperage; impact eyewear worn underneath</w:t>
            </w:r>
          </w:p>
        </w:tc>
      </w:tr>
      <w:tr>
        <w:tc>
          <w:tcPr>
            <w:tcW w:type="dxa" w:w="2880"/>
            <w:shd w:val="clear" w:color="auto" w:fill="F2F5EF"/>
          </w:tcPr>
          <w:p>
            <w:pPr>
              <w:spacing w:after="40"/>
            </w:pPr>
            <w:r/>
            <w:r>
              <w:rPr>
                <w:sz w:val="19"/>
              </w:rPr>
              <w:t>Sustained outdoor work</w:t>
            </w:r>
          </w:p>
        </w:tc>
        <w:tc>
          <w:tcPr>
            <w:tcW w:type="dxa" w:w="1728"/>
            <w:shd w:val="clear" w:color="auto" w:fill="F2F5EF"/>
          </w:tcPr>
          <w:p>
            <w:pPr>
              <w:spacing w:after="40"/>
            </w:pPr>
            <w:r/>
            <w:r>
              <w:rPr>
                <w:sz w:val="19"/>
              </w:rPr>
              <w:t>Z87+ / U6</w:t>
            </w:r>
          </w:p>
        </w:tc>
        <w:tc>
          <w:tcPr>
            <w:tcW w:type="dxa" w:w="4752"/>
            <w:shd w:val="clear" w:color="auto" w:fill="F2F5EF"/>
          </w:tcPr>
          <w:p>
            <w:pPr>
              <w:spacing w:after="40"/>
            </w:pPr>
            <w:r/>
            <w:r>
              <w:rPr>
                <w:sz w:val="19"/>
              </w:rPr>
              <w:t>Tinted or photochromic; tint darkness is not UV protection</w:t>
            </w:r>
          </w:p>
        </w:tc>
      </w:tr>
      <w:tr>
        <w:tc>
          <w:tcPr>
            <w:tcW w:type="dxa" w:w="2880"/>
          </w:tcPr>
          <w:p>
            <w:pPr>
              <w:spacing w:after="40"/>
            </w:pPr>
            <w:r/>
            <w:r>
              <w:rPr>
                <w:sz w:val="19"/>
              </w:rPr>
              <w:t>Temperature or humidity transitions</w:t>
            </w:r>
          </w:p>
        </w:tc>
        <w:tc>
          <w:tcPr>
            <w:tcW w:type="dxa" w:w="1728"/>
          </w:tcPr>
          <w:p>
            <w:pPr>
              <w:spacing w:after="40"/>
            </w:pPr>
            <w:r/>
            <w:r>
              <w:rPr>
                <w:sz w:val="19"/>
              </w:rPr>
              <w:t>Z87+</w:t>
            </w:r>
          </w:p>
        </w:tc>
        <w:tc>
          <w:tcPr>
            <w:tcW w:type="dxa" w:w="4752"/>
          </w:tcPr>
          <w:p>
            <w:pPr>
              <w:spacing w:after="40"/>
            </w:pPr>
            <w:r/>
            <w:r>
              <w:rPr>
                <w:sz w:val="19"/>
              </w:rPr>
              <w:t>Permanent bonded anti-fog, not a wipe-on treatment</w:t>
            </w:r>
          </w:p>
        </w:tc>
      </w:tr>
    </w:tbl>
    <w:p>
      <w:pPr>
        <w:spacing w:after="80"/>
      </w:pPr>
    </w:p>
    <w:p>
      <w:pPr>
        <w:keepNext/>
        <w:spacing w:before="280" w:after="120"/>
      </w:pPr>
      <w:r>
        <w:rPr>
          <w:b/>
          <w:color w:val="1F3B14"/>
          <w:sz w:val="30"/>
        </w:rPr>
        <w:t>9. Ordering process</w:t>
      </w:r>
    </w:p>
    <w:p>
      <w:pPr>
        <w:spacing w:after="120"/>
      </w:pPr>
      <w:r>
        <w:rPr>
          <w:sz w:val="21"/>
        </w:rPr>
        <w:t xml:space="preserve">Eligible employees order through </w:t>
      </w:r>
      <w:r>
        <w:rPr>
          <w:b/>
          <w:color w:val="C25E00"/>
          <w:sz w:val="21"/>
        </w:rPr>
        <w:t>[ORDERING ROUTE - e.g. the company safety eyewear portal]</w:t>
      </w:r>
      <w:r>
        <w:rPr>
          <w:sz w:val="21"/>
        </w:rPr>
        <w:t>. The process is:</w:t>
      </w:r>
    </w:p>
    <w:p>
      <w:pPr>
        <w:pStyle w:val="ListBullet"/>
        <w:spacing w:after="80"/>
      </w:pPr>
      <w:r>
        <w:rPr>
          <w:sz w:val="21"/>
        </w:rPr>
        <w:t>Employee confirms eligibility and obtains a current prescription.</w:t>
      </w:r>
    </w:p>
    <w:p>
      <w:pPr>
        <w:pStyle w:val="ListBullet"/>
        <w:spacing w:after="80"/>
      </w:pPr>
      <w:r>
        <w:rPr>
          <w:sz w:val="21"/>
        </w:rPr>
        <w:t>Employee selects a frame from the approved list for their hazard area.</w:t>
      </w:r>
    </w:p>
    <w:p>
      <w:pPr>
        <w:pStyle w:val="ListBullet"/>
        <w:spacing w:after="120"/>
      </w:pPr>
      <w:r>
        <w:rPr>
          <w:sz w:val="21"/>
        </w:rPr>
        <w:t xml:space="preserve">Order is approved by </w:t>
      </w:r>
      <w:r>
        <w:rPr>
          <w:b/>
          <w:color w:val="C25E00"/>
          <w:sz w:val="21"/>
        </w:rPr>
        <w:t>[APPROVER ROLE]</w:t>
      </w:r>
      <w:r>
        <w:rPr>
          <w:sz w:val="21"/>
        </w:rPr>
        <w:t xml:space="preserve"> and placed with the supplier.</w:t>
      </w:r>
    </w:p>
    <w:p>
      <w:pPr>
        <w:pStyle w:val="ListBullet"/>
        <w:spacing w:after="120"/>
      </w:pPr>
      <w:r>
        <w:rPr>
          <w:sz w:val="21"/>
        </w:rPr>
        <w:t xml:space="preserve">Eyewear is delivered to </w:t>
      </w:r>
      <w:r>
        <w:rPr>
          <w:b/>
          <w:color w:val="C25E00"/>
          <w:sz w:val="21"/>
        </w:rPr>
        <w:t>[DELIVERY POINT]</w:t>
      </w:r>
      <w:r>
        <w:rPr>
          <w:sz w:val="21"/>
        </w:rPr>
        <w:t xml:space="preserve"> within </w:t>
      </w:r>
      <w:r>
        <w:rPr>
          <w:b/>
          <w:color w:val="C25E00"/>
          <w:sz w:val="21"/>
        </w:rPr>
        <w:t>[EXPECTED LEAD TIME]</w:t>
      </w:r>
      <w:r>
        <w:rPr>
          <w:sz w:val="21"/>
        </w:rPr>
        <w:t>.</w:t>
      </w:r>
    </w:p>
    <w:p>
      <w:pPr>
        <w:pStyle w:val="ListBullet"/>
        <w:spacing w:after="80"/>
      </w:pPr>
      <w:r>
        <w:rPr>
          <w:sz w:val="21"/>
        </w:rPr>
        <w:t>Fit is checked at issue, and the issue is recorded against the employee.</w:t>
      </w:r>
    </w:p>
    <w:p>
      <w:pPr>
        <w:keepNext/>
        <w:spacing w:before="280" w:after="120"/>
      </w:pPr>
      <w:r>
        <w:rPr>
          <w:b/>
          <w:color w:val="1F3B14"/>
          <w:sz w:val="30"/>
        </w:rPr>
        <w:t>10. Replacement, damage and loss</w:t>
      </w:r>
    </w:p>
    <w:p>
      <w:pPr>
        <w:spacing w:after="120"/>
      </w:pPr>
      <w:r>
        <w:rPr>
          <w:sz w:val="21"/>
        </w:rPr>
        <w:t xml:space="preserve">Eyewear damaged in the course of work is replaced at company cost. Eyewear lost or damaged through negligence is </w:t>
      </w:r>
      <w:r>
        <w:rPr>
          <w:b/>
          <w:color w:val="C25E00"/>
          <w:sz w:val="21"/>
        </w:rPr>
        <w:t>[REPLACED AT COMPANY COST / EMPLOYEE-FUNDED]</w:t>
      </w:r>
      <w:r>
        <w:rPr>
          <w:sz w:val="21"/>
        </w:rPr>
        <w:t>. Replacement is requested through the same route as a new order, and interim protection must be issued where an employee is left without compliant eyewear.</w:t>
      </w:r>
    </w:p>
    <w:p>
      <w:pPr>
        <w:spacing w:after="120"/>
      </w:pPr>
      <w:r>
        <w:rPr>
          <w:b/>
          <w:i w:val="0"/>
          <w:sz w:val="21"/>
        </w:rPr>
        <w:t>Scratched or pitted lenses that impair vision must be replaced rather than kept in service. Degraded lenses are a hazard in their own right.</w:t>
      </w:r>
    </w:p>
    <w:p>
      <w:pPr>
        <w:keepNext/>
        <w:spacing w:before="280" w:after="120"/>
      </w:pPr>
      <w:r>
        <w:rPr>
          <w:b/>
          <w:color w:val="1F3B14"/>
          <w:sz w:val="30"/>
        </w:rPr>
        <w:t>11. Compliance, monitoring and records</w:t>
      </w:r>
    </w:p>
    <w:p>
      <w:pPr>
        <w:spacing w:after="120"/>
      </w:pPr>
      <w:r>
        <w:rPr>
          <w:b/>
          <w:color w:val="C25E00"/>
          <w:sz w:val="21"/>
        </w:rPr>
        <w:t>[ROLE RESPONSIBLE]</w:t>
      </w:r>
      <w:r>
        <w:rPr>
          <w:sz w:val="21"/>
        </w:rPr>
        <w:t xml:space="preserve"> maintains a record of every employee issued prescription safety eyewear, the specification issued, and the date. Records are retained for </w:t>
      </w:r>
      <w:r>
        <w:rPr>
          <w:b/>
          <w:color w:val="C25E00"/>
          <w:sz w:val="21"/>
        </w:rPr>
        <w:t>[RETENTION PERIOD]</w:t>
      </w:r>
      <w:r>
        <w:rPr>
          <w:sz w:val="21"/>
        </w:rPr>
        <w:t>.</w:t>
      </w:r>
    </w:p>
    <w:p>
      <w:pPr>
        <w:pStyle w:val="ListBullet"/>
        <w:spacing w:after="80"/>
      </w:pPr>
      <w:r>
        <w:rPr>
          <w:sz w:val="21"/>
        </w:rPr>
        <w:t>Eyewear use is checked during routine area inspections and documented.</w:t>
      </w:r>
    </w:p>
    <w:p>
      <w:pPr>
        <w:pStyle w:val="ListBullet"/>
        <w:spacing w:after="80"/>
      </w:pPr>
      <w:r>
        <w:rPr>
          <w:sz w:val="21"/>
        </w:rPr>
        <w:t>Non-compliance is addressed under the company disciplinary procedure.</w:t>
      </w:r>
    </w:p>
    <w:p>
      <w:pPr>
        <w:spacing w:after="120"/>
      </w:pPr>
      <w:r>
        <w:rPr>
          <w:sz w:val="21"/>
        </w:rPr>
        <w:t xml:space="preserve">The hazard assessment underpinning this policy is reviewed every </w:t>
      </w:r>
      <w:r>
        <w:rPr>
          <w:b/>
          <w:color w:val="C25E00"/>
          <w:sz w:val="21"/>
        </w:rPr>
        <w:t>[PERIOD]</w:t>
      </w:r>
      <w:r>
        <w:rPr>
          <w:sz w:val="21"/>
        </w:rPr>
        <w:t>, and whenever a process, material or work area changes.</w:t>
      </w:r>
    </w:p>
    <w:p>
      <w:pPr>
        <w:keepNext/>
        <w:spacing w:before="280" w:after="120"/>
      </w:pPr>
      <w:r>
        <w:rPr>
          <w:b/>
          <w:color w:val="1F3B14"/>
          <w:sz w:val="30"/>
        </w:rPr>
        <w:t>12. Roles and responsibilities</w:t>
      </w:r>
    </w:p>
    <w:tbl>
      <w:tblPr>
        <w:tblW w:type="auto" w:w="0"/>
        <w:jc w:val="center"/>
        <w:tblLayout w:type="fixed"/>
        <w:tblLook w:firstColumn="1" w:firstRow="1" w:lastColumn="0" w:lastRow="0" w:noHBand="0" w:noVBand="1" w:val="04A0"/>
        <w:tblBorders>
          <w:top w:val="single" w:sz="4" w:color="C9D4BF"/>
          <w:left w:val="single" w:sz="4" w:color="C9D4BF"/>
          <w:bottom w:val="single" w:sz="4" w:color="C9D4BF"/>
          <w:right w:val="single" w:sz="4" w:color="C9D4BF"/>
          <w:insideH w:val="single" w:sz="4" w:color="C9D4BF"/>
          <w:insideV w:val="single" w:sz="4" w:color="C9D4BF"/>
        </w:tblBorders>
      </w:tblPr>
      <w:tblGrid>
        <w:gridCol w:w="4680"/>
        <w:gridCol w:w="4680"/>
      </w:tblGrid>
      <w:tr>
        <w:tc>
          <w:tcPr>
            <w:tcW w:type="dxa" w:w="3024"/>
            <w:shd w:val="clear" w:color="auto" w:fill="1F3B14"/>
          </w:tcPr>
          <w:p>
            <w:pPr>
              <w:spacing w:after="40"/>
            </w:pPr>
            <w:r/>
            <w:r>
              <w:rPr>
                <w:b/>
                <w:color w:val="FFFFFF"/>
                <w:sz w:val="19"/>
              </w:rPr>
              <w:t>Role</w:t>
            </w:r>
          </w:p>
        </w:tc>
        <w:tc>
          <w:tcPr>
            <w:tcW w:type="dxa" w:w="6336"/>
            <w:shd w:val="clear" w:color="auto" w:fill="1F3B14"/>
          </w:tcPr>
          <w:p>
            <w:pPr>
              <w:spacing w:after="40"/>
            </w:pPr>
            <w:r/>
            <w:r>
              <w:rPr>
                <w:b/>
                <w:color w:val="FFFFFF"/>
                <w:sz w:val="19"/>
              </w:rPr>
              <w:t>Responsibility</w:t>
            </w:r>
          </w:p>
        </w:tc>
      </w:tr>
      <w:tr>
        <w:tc>
          <w:tcPr>
            <w:tcW w:type="dxa" w:w="3024"/>
          </w:tcPr>
          <w:p>
            <w:pPr>
              <w:spacing w:after="40"/>
            </w:pPr>
            <w:r/>
            <w:r>
              <w:rPr>
                <w:sz w:val="19"/>
              </w:rPr>
              <w:t>[EHS / SAFETY MANAGER]</w:t>
            </w:r>
          </w:p>
        </w:tc>
        <w:tc>
          <w:tcPr>
            <w:tcW w:type="dxa" w:w="6336"/>
          </w:tcPr>
          <w:p>
            <w:pPr>
              <w:spacing w:after="40"/>
            </w:pPr>
            <w:r/>
            <w:r>
              <w:rPr>
                <w:sz w:val="19"/>
              </w:rPr>
              <w:t>Owns the hazard assessment, sets the specification, monitors compliance</w:t>
            </w:r>
          </w:p>
        </w:tc>
      </w:tr>
      <w:tr>
        <w:tc>
          <w:tcPr>
            <w:tcW w:type="dxa" w:w="3024"/>
            <w:shd w:val="clear" w:color="auto" w:fill="F2F5EF"/>
          </w:tcPr>
          <w:p>
            <w:pPr>
              <w:spacing w:after="40"/>
            </w:pPr>
            <w:r/>
            <w:r>
              <w:rPr>
                <w:sz w:val="19"/>
              </w:rPr>
              <w:t>[LINE MANAGER / SUPERVISOR]</w:t>
            </w:r>
          </w:p>
        </w:tc>
        <w:tc>
          <w:tcPr>
            <w:tcW w:type="dxa" w:w="6336"/>
            <w:shd w:val="clear" w:color="auto" w:fill="F2F5EF"/>
          </w:tcPr>
          <w:p>
            <w:pPr>
              <w:spacing w:after="40"/>
            </w:pPr>
            <w:r/>
            <w:r>
              <w:rPr>
                <w:sz w:val="19"/>
              </w:rPr>
              <w:t>Confirms eligibility, checks eyewear is worn and serviceable</w:t>
            </w:r>
          </w:p>
        </w:tc>
      </w:tr>
      <w:tr>
        <w:tc>
          <w:tcPr>
            <w:tcW w:type="dxa" w:w="3024"/>
          </w:tcPr>
          <w:p>
            <w:pPr>
              <w:spacing w:after="40"/>
            </w:pPr>
            <w:r/>
            <w:r>
              <w:rPr>
                <w:sz w:val="19"/>
              </w:rPr>
              <w:t>[HR / BENEFITS]</w:t>
            </w:r>
          </w:p>
        </w:tc>
        <w:tc>
          <w:tcPr>
            <w:tcW w:type="dxa" w:w="6336"/>
          </w:tcPr>
          <w:p>
            <w:pPr>
              <w:spacing w:after="40"/>
            </w:pPr>
            <w:r/>
            <w:r>
              <w:rPr>
                <w:sz w:val="19"/>
              </w:rPr>
              <w:t>Administers allowances and eligibility records</w:t>
            </w:r>
          </w:p>
        </w:tc>
      </w:tr>
      <w:tr>
        <w:tc>
          <w:tcPr>
            <w:tcW w:type="dxa" w:w="3024"/>
            <w:shd w:val="clear" w:color="auto" w:fill="F2F5EF"/>
          </w:tcPr>
          <w:p>
            <w:pPr>
              <w:spacing w:after="40"/>
            </w:pPr>
            <w:r/>
            <w:r>
              <w:rPr>
                <w:sz w:val="19"/>
              </w:rPr>
              <w:t>Employee</w:t>
            </w:r>
          </w:p>
        </w:tc>
        <w:tc>
          <w:tcPr>
            <w:tcW w:type="dxa" w:w="6336"/>
            <w:shd w:val="clear" w:color="auto" w:fill="F2F5EF"/>
          </w:tcPr>
          <w:p>
            <w:pPr>
              <w:spacing w:after="40"/>
            </w:pPr>
            <w:r/>
            <w:r>
              <w:rPr>
                <w:sz w:val="19"/>
              </w:rPr>
              <w:t>Wears the eyewear issued, reports damage and vision changes, keeps prescription current</w:t>
            </w:r>
          </w:p>
        </w:tc>
      </w:tr>
      <w:tr>
        <w:tc>
          <w:tcPr>
            <w:tcW w:type="dxa" w:w="3024"/>
          </w:tcPr>
          <w:p>
            <w:pPr>
              <w:spacing w:after="40"/>
            </w:pPr>
            <w:r/>
            <w:r>
              <w:rPr>
                <w:sz w:val="19"/>
              </w:rPr>
              <w:t>[SUPPLIER]</w:t>
            </w:r>
          </w:p>
        </w:tc>
        <w:tc>
          <w:tcPr>
            <w:tcW w:type="dxa" w:w="6336"/>
          </w:tcPr>
          <w:p>
            <w:pPr>
              <w:spacing w:after="40"/>
            </w:pPr>
            <w:r/>
            <w:r>
              <w:rPr>
                <w:sz w:val="19"/>
              </w:rPr>
              <w:t>Supplies compliant marked eyewear and maintains order records</w:t>
            </w:r>
          </w:p>
        </w:tc>
      </w:tr>
    </w:tbl>
    <w:p>
      <w:pPr>
        <w:spacing w:after="80"/>
      </w:pPr>
    </w:p>
    <w:p>
      <w:r>
        <w:br w:type="page"/>
      </w:r>
    </w:p>
    <w:p>
      <w:pPr>
        <w:keepNext/>
        <w:spacing w:before="0" w:after="120"/>
      </w:pPr>
      <w:r>
        <w:rPr>
          <w:b/>
          <w:color w:val="1F3B14"/>
          <w:sz w:val="30"/>
        </w:rPr>
        <w:t>Appendix A - Hazard assessment worksheet</w:t>
      </w:r>
    </w:p>
    <w:p>
      <w:pPr>
        <w:spacing w:after="120"/>
      </w:pPr>
      <w:r>
        <w:rPr>
          <w:b w:val="0"/>
          <w:i w:val="0"/>
          <w:sz w:val="21"/>
        </w:rPr>
        <w:t>Complete one row per work area or task. This worksheet supports the assessment required by OSHA 29 CFR 1910.132(d).</w:t>
      </w:r>
    </w:p>
    <w:tbl>
      <w:tblPr>
        <w:tblW w:type="auto" w:w="0"/>
        <w:jc w:val="center"/>
        <w:tblLayout w:type="fixed"/>
        <w:tblLook w:firstColumn="1" w:firstRow="1" w:lastColumn="0" w:lastRow="0" w:noHBand="0" w:noVBand="1" w:val="04A0"/>
        <w:tblBorders>
          <w:top w:val="single" w:sz="4" w:color="C9D4BF"/>
          <w:left w:val="single" w:sz="4" w:color="C9D4BF"/>
          <w:bottom w:val="single" w:sz="4" w:color="C9D4BF"/>
          <w:right w:val="single" w:sz="4" w:color="C9D4BF"/>
          <w:insideH w:val="single" w:sz="4" w:color="C9D4BF"/>
          <w:insideV w:val="single" w:sz="4" w:color="C9D4BF"/>
        </w:tblBorders>
      </w:tblPr>
      <w:tblGrid>
        <w:gridCol w:w="1560"/>
        <w:gridCol w:w="1560"/>
        <w:gridCol w:w="1560"/>
        <w:gridCol w:w="1560"/>
        <w:gridCol w:w="1560"/>
        <w:gridCol w:w="1560"/>
      </w:tblGrid>
      <w:tr>
        <w:tc>
          <w:tcPr>
            <w:tcW w:type="dxa" w:w="2160"/>
            <w:shd w:val="clear" w:color="auto" w:fill="1F3B14"/>
          </w:tcPr>
          <w:p>
            <w:pPr>
              <w:spacing w:after="40"/>
            </w:pPr>
            <w:r/>
            <w:r>
              <w:rPr>
                <w:b/>
                <w:color w:val="FFFFFF"/>
                <w:sz w:val="19"/>
              </w:rPr>
              <w:t>Area / task</w:t>
            </w:r>
          </w:p>
        </w:tc>
        <w:tc>
          <w:tcPr>
            <w:tcW w:type="dxa" w:w="1944"/>
            <w:shd w:val="clear" w:color="auto" w:fill="1F3B14"/>
          </w:tcPr>
          <w:p>
            <w:pPr>
              <w:spacing w:after="40"/>
            </w:pPr>
            <w:r/>
            <w:r>
              <w:rPr>
                <w:b/>
                <w:color w:val="FFFFFF"/>
                <w:sz w:val="19"/>
              </w:rPr>
              <w:t>Hazards present</w:t>
            </w:r>
          </w:p>
        </w:tc>
        <w:tc>
          <w:tcPr>
            <w:tcW w:type="dxa" w:w="1440"/>
            <w:shd w:val="clear" w:color="auto" w:fill="1F3B14"/>
          </w:tcPr>
          <w:p>
            <w:pPr>
              <w:spacing w:after="40"/>
            </w:pPr>
            <w:r/>
            <w:r>
              <w:rPr>
                <w:b/>
                <w:color w:val="FFFFFF"/>
                <w:sz w:val="19"/>
              </w:rPr>
              <w:t>Required marking</w:t>
            </w:r>
          </w:p>
        </w:tc>
        <w:tc>
          <w:tcPr>
            <w:tcW w:type="dxa" w:w="1944"/>
            <w:shd w:val="clear" w:color="auto" w:fill="1F3B14"/>
          </w:tcPr>
          <w:p>
            <w:pPr>
              <w:spacing w:after="40"/>
            </w:pPr>
            <w:r/>
            <w:r>
              <w:rPr>
                <w:b/>
                <w:color w:val="FFFFFF"/>
                <w:sz w:val="19"/>
              </w:rPr>
              <w:t>Eyewear specified</w:t>
            </w:r>
          </w:p>
        </w:tc>
        <w:tc>
          <w:tcPr>
            <w:tcW w:type="dxa" w:w="1224"/>
            <w:shd w:val="clear" w:color="auto" w:fill="1F3B14"/>
          </w:tcPr>
          <w:p>
            <w:pPr>
              <w:spacing w:after="40"/>
            </w:pPr>
            <w:r/>
            <w:r>
              <w:rPr>
                <w:b/>
                <w:color w:val="FFFFFF"/>
                <w:sz w:val="19"/>
              </w:rPr>
              <w:t>Assessed by</w:t>
            </w:r>
          </w:p>
        </w:tc>
        <w:tc>
          <w:tcPr>
            <w:tcW w:type="dxa" w:w="864"/>
            <w:shd w:val="clear" w:color="auto" w:fill="1F3B14"/>
          </w:tcPr>
          <w:p>
            <w:pPr>
              <w:spacing w:after="40"/>
            </w:pPr>
            <w:r/>
            <w:r>
              <w:rPr>
                <w:b/>
                <w:color w:val="FFFFFF"/>
                <w:sz w:val="19"/>
              </w:rPr>
              <w:t>Date</w:t>
            </w:r>
          </w:p>
        </w:tc>
      </w:tr>
      <w:tr>
        <w:tc>
          <w:tcPr>
            <w:tcW w:type="dxa" w:w="2160"/>
          </w:tcPr>
          <w:p>
            <w:pPr>
              <w:spacing w:after="40"/>
            </w:pPr>
            <w:r/>
            <w:r>
              <w:rPr>
                <w:sz w:val="19"/>
              </w:rPr>
            </w:r>
          </w:p>
        </w:tc>
        <w:tc>
          <w:tcPr>
            <w:tcW w:type="dxa" w:w="1944"/>
          </w:tcPr>
          <w:p>
            <w:pPr>
              <w:spacing w:after="40"/>
            </w:pPr>
            <w:r/>
            <w:r>
              <w:rPr>
                <w:sz w:val="19"/>
              </w:rPr>
            </w:r>
          </w:p>
        </w:tc>
        <w:tc>
          <w:tcPr>
            <w:tcW w:type="dxa" w:w="1440"/>
          </w:tcPr>
          <w:p>
            <w:pPr>
              <w:spacing w:after="40"/>
            </w:pPr>
            <w:r/>
            <w:r>
              <w:rPr>
                <w:sz w:val="19"/>
              </w:rPr>
            </w:r>
          </w:p>
        </w:tc>
        <w:tc>
          <w:tcPr>
            <w:tcW w:type="dxa" w:w="1944"/>
          </w:tcPr>
          <w:p>
            <w:pPr>
              <w:spacing w:after="40"/>
            </w:pPr>
            <w:r/>
            <w:r>
              <w:rPr>
                <w:sz w:val="19"/>
              </w:rPr>
            </w:r>
          </w:p>
        </w:tc>
        <w:tc>
          <w:tcPr>
            <w:tcW w:type="dxa" w:w="1224"/>
          </w:tcPr>
          <w:p>
            <w:pPr>
              <w:spacing w:after="40"/>
            </w:pPr>
            <w:r/>
            <w:r>
              <w:rPr>
                <w:sz w:val="19"/>
              </w:rPr>
            </w:r>
          </w:p>
        </w:tc>
        <w:tc>
          <w:tcPr>
            <w:tcW w:type="dxa" w:w="864"/>
          </w:tcPr>
          <w:p>
            <w:pPr>
              <w:spacing w:after="40"/>
            </w:pPr>
            <w:r/>
            <w:r>
              <w:rPr>
                <w:sz w:val="19"/>
              </w:rPr>
            </w:r>
          </w:p>
        </w:tc>
      </w:tr>
      <w:tr>
        <w:tc>
          <w:tcPr>
            <w:tcW w:type="dxa" w:w="2160"/>
            <w:shd w:val="clear" w:color="auto" w:fill="F2F5EF"/>
          </w:tcPr>
          <w:p>
            <w:pPr>
              <w:spacing w:after="40"/>
            </w:pPr>
            <w:r/>
            <w:r>
              <w:rPr>
                <w:sz w:val="19"/>
              </w:rPr>
            </w:r>
          </w:p>
        </w:tc>
        <w:tc>
          <w:tcPr>
            <w:tcW w:type="dxa" w:w="1944"/>
            <w:shd w:val="clear" w:color="auto" w:fill="F2F5EF"/>
          </w:tcPr>
          <w:p>
            <w:pPr>
              <w:spacing w:after="40"/>
            </w:pPr>
            <w:r/>
            <w:r>
              <w:rPr>
                <w:sz w:val="19"/>
              </w:rPr>
            </w:r>
          </w:p>
        </w:tc>
        <w:tc>
          <w:tcPr>
            <w:tcW w:type="dxa" w:w="1440"/>
            <w:shd w:val="clear" w:color="auto" w:fill="F2F5EF"/>
          </w:tcPr>
          <w:p>
            <w:pPr>
              <w:spacing w:after="40"/>
            </w:pPr>
            <w:r/>
            <w:r>
              <w:rPr>
                <w:sz w:val="19"/>
              </w:rPr>
            </w:r>
          </w:p>
        </w:tc>
        <w:tc>
          <w:tcPr>
            <w:tcW w:type="dxa" w:w="1944"/>
            <w:shd w:val="clear" w:color="auto" w:fill="F2F5EF"/>
          </w:tcPr>
          <w:p>
            <w:pPr>
              <w:spacing w:after="40"/>
            </w:pPr>
            <w:r/>
            <w:r>
              <w:rPr>
                <w:sz w:val="19"/>
              </w:rPr>
            </w:r>
          </w:p>
        </w:tc>
        <w:tc>
          <w:tcPr>
            <w:tcW w:type="dxa" w:w="1224"/>
            <w:shd w:val="clear" w:color="auto" w:fill="F2F5EF"/>
          </w:tcPr>
          <w:p>
            <w:pPr>
              <w:spacing w:after="40"/>
            </w:pPr>
            <w:r/>
            <w:r>
              <w:rPr>
                <w:sz w:val="19"/>
              </w:rPr>
            </w:r>
          </w:p>
        </w:tc>
        <w:tc>
          <w:tcPr>
            <w:tcW w:type="dxa" w:w="864"/>
            <w:shd w:val="clear" w:color="auto" w:fill="F2F5EF"/>
          </w:tcPr>
          <w:p>
            <w:pPr>
              <w:spacing w:after="40"/>
            </w:pPr>
            <w:r/>
            <w:r>
              <w:rPr>
                <w:sz w:val="19"/>
              </w:rPr>
            </w:r>
          </w:p>
        </w:tc>
      </w:tr>
      <w:tr>
        <w:tc>
          <w:tcPr>
            <w:tcW w:type="dxa" w:w="2160"/>
          </w:tcPr>
          <w:p>
            <w:pPr>
              <w:spacing w:after="40"/>
            </w:pPr>
            <w:r/>
            <w:r>
              <w:rPr>
                <w:sz w:val="19"/>
              </w:rPr>
            </w:r>
          </w:p>
        </w:tc>
        <w:tc>
          <w:tcPr>
            <w:tcW w:type="dxa" w:w="1944"/>
          </w:tcPr>
          <w:p>
            <w:pPr>
              <w:spacing w:after="40"/>
            </w:pPr>
            <w:r/>
            <w:r>
              <w:rPr>
                <w:sz w:val="19"/>
              </w:rPr>
            </w:r>
          </w:p>
        </w:tc>
        <w:tc>
          <w:tcPr>
            <w:tcW w:type="dxa" w:w="1440"/>
          </w:tcPr>
          <w:p>
            <w:pPr>
              <w:spacing w:after="40"/>
            </w:pPr>
            <w:r/>
            <w:r>
              <w:rPr>
                <w:sz w:val="19"/>
              </w:rPr>
            </w:r>
          </w:p>
        </w:tc>
        <w:tc>
          <w:tcPr>
            <w:tcW w:type="dxa" w:w="1944"/>
          </w:tcPr>
          <w:p>
            <w:pPr>
              <w:spacing w:after="40"/>
            </w:pPr>
            <w:r/>
            <w:r>
              <w:rPr>
                <w:sz w:val="19"/>
              </w:rPr>
            </w:r>
          </w:p>
        </w:tc>
        <w:tc>
          <w:tcPr>
            <w:tcW w:type="dxa" w:w="1224"/>
          </w:tcPr>
          <w:p>
            <w:pPr>
              <w:spacing w:after="40"/>
            </w:pPr>
            <w:r/>
            <w:r>
              <w:rPr>
                <w:sz w:val="19"/>
              </w:rPr>
            </w:r>
          </w:p>
        </w:tc>
        <w:tc>
          <w:tcPr>
            <w:tcW w:type="dxa" w:w="864"/>
          </w:tcPr>
          <w:p>
            <w:pPr>
              <w:spacing w:after="40"/>
            </w:pPr>
            <w:r/>
            <w:r>
              <w:rPr>
                <w:sz w:val="19"/>
              </w:rPr>
            </w:r>
          </w:p>
        </w:tc>
      </w:tr>
      <w:tr>
        <w:tc>
          <w:tcPr>
            <w:tcW w:type="dxa" w:w="2160"/>
            <w:shd w:val="clear" w:color="auto" w:fill="F2F5EF"/>
          </w:tcPr>
          <w:p>
            <w:pPr>
              <w:spacing w:after="40"/>
            </w:pPr>
            <w:r/>
            <w:r>
              <w:rPr>
                <w:sz w:val="19"/>
              </w:rPr>
            </w:r>
          </w:p>
        </w:tc>
        <w:tc>
          <w:tcPr>
            <w:tcW w:type="dxa" w:w="1944"/>
            <w:shd w:val="clear" w:color="auto" w:fill="F2F5EF"/>
          </w:tcPr>
          <w:p>
            <w:pPr>
              <w:spacing w:after="40"/>
            </w:pPr>
            <w:r/>
            <w:r>
              <w:rPr>
                <w:sz w:val="19"/>
              </w:rPr>
            </w:r>
          </w:p>
        </w:tc>
        <w:tc>
          <w:tcPr>
            <w:tcW w:type="dxa" w:w="1440"/>
            <w:shd w:val="clear" w:color="auto" w:fill="F2F5EF"/>
          </w:tcPr>
          <w:p>
            <w:pPr>
              <w:spacing w:after="40"/>
            </w:pPr>
            <w:r/>
            <w:r>
              <w:rPr>
                <w:sz w:val="19"/>
              </w:rPr>
            </w:r>
          </w:p>
        </w:tc>
        <w:tc>
          <w:tcPr>
            <w:tcW w:type="dxa" w:w="1944"/>
            <w:shd w:val="clear" w:color="auto" w:fill="F2F5EF"/>
          </w:tcPr>
          <w:p>
            <w:pPr>
              <w:spacing w:after="40"/>
            </w:pPr>
            <w:r/>
            <w:r>
              <w:rPr>
                <w:sz w:val="19"/>
              </w:rPr>
            </w:r>
          </w:p>
        </w:tc>
        <w:tc>
          <w:tcPr>
            <w:tcW w:type="dxa" w:w="1224"/>
            <w:shd w:val="clear" w:color="auto" w:fill="F2F5EF"/>
          </w:tcPr>
          <w:p>
            <w:pPr>
              <w:spacing w:after="40"/>
            </w:pPr>
            <w:r/>
            <w:r>
              <w:rPr>
                <w:sz w:val="19"/>
              </w:rPr>
            </w:r>
          </w:p>
        </w:tc>
        <w:tc>
          <w:tcPr>
            <w:tcW w:type="dxa" w:w="864"/>
            <w:shd w:val="clear" w:color="auto" w:fill="F2F5EF"/>
          </w:tcPr>
          <w:p>
            <w:pPr>
              <w:spacing w:after="40"/>
            </w:pPr>
            <w:r/>
            <w:r>
              <w:rPr>
                <w:sz w:val="19"/>
              </w:rPr>
            </w:r>
          </w:p>
        </w:tc>
      </w:tr>
      <w:tr>
        <w:tc>
          <w:tcPr>
            <w:tcW w:type="dxa" w:w="2160"/>
          </w:tcPr>
          <w:p>
            <w:pPr>
              <w:spacing w:after="40"/>
            </w:pPr>
            <w:r/>
            <w:r>
              <w:rPr>
                <w:sz w:val="19"/>
              </w:rPr>
            </w:r>
          </w:p>
        </w:tc>
        <w:tc>
          <w:tcPr>
            <w:tcW w:type="dxa" w:w="1944"/>
          </w:tcPr>
          <w:p>
            <w:pPr>
              <w:spacing w:after="40"/>
            </w:pPr>
            <w:r/>
            <w:r>
              <w:rPr>
                <w:sz w:val="19"/>
              </w:rPr>
            </w:r>
          </w:p>
        </w:tc>
        <w:tc>
          <w:tcPr>
            <w:tcW w:type="dxa" w:w="1440"/>
          </w:tcPr>
          <w:p>
            <w:pPr>
              <w:spacing w:after="40"/>
            </w:pPr>
            <w:r/>
            <w:r>
              <w:rPr>
                <w:sz w:val="19"/>
              </w:rPr>
            </w:r>
          </w:p>
        </w:tc>
        <w:tc>
          <w:tcPr>
            <w:tcW w:type="dxa" w:w="1944"/>
          </w:tcPr>
          <w:p>
            <w:pPr>
              <w:spacing w:after="40"/>
            </w:pPr>
            <w:r/>
            <w:r>
              <w:rPr>
                <w:sz w:val="19"/>
              </w:rPr>
            </w:r>
          </w:p>
        </w:tc>
        <w:tc>
          <w:tcPr>
            <w:tcW w:type="dxa" w:w="1224"/>
          </w:tcPr>
          <w:p>
            <w:pPr>
              <w:spacing w:after="40"/>
            </w:pPr>
            <w:r/>
            <w:r>
              <w:rPr>
                <w:sz w:val="19"/>
              </w:rPr>
            </w:r>
          </w:p>
        </w:tc>
        <w:tc>
          <w:tcPr>
            <w:tcW w:type="dxa" w:w="864"/>
          </w:tcPr>
          <w:p>
            <w:pPr>
              <w:spacing w:after="40"/>
            </w:pPr>
            <w:r/>
            <w:r>
              <w:rPr>
                <w:sz w:val="19"/>
              </w:rPr>
            </w:r>
          </w:p>
        </w:tc>
      </w:tr>
      <w:tr>
        <w:tc>
          <w:tcPr>
            <w:tcW w:type="dxa" w:w="2160"/>
            <w:shd w:val="clear" w:color="auto" w:fill="F2F5EF"/>
          </w:tcPr>
          <w:p>
            <w:pPr>
              <w:spacing w:after="40"/>
            </w:pPr>
            <w:r/>
            <w:r>
              <w:rPr>
                <w:sz w:val="19"/>
              </w:rPr>
            </w:r>
          </w:p>
        </w:tc>
        <w:tc>
          <w:tcPr>
            <w:tcW w:type="dxa" w:w="1944"/>
            <w:shd w:val="clear" w:color="auto" w:fill="F2F5EF"/>
          </w:tcPr>
          <w:p>
            <w:pPr>
              <w:spacing w:after="40"/>
            </w:pPr>
            <w:r/>
            <w:r>
              <w:rPr>
                <w:sz w:val="19"/>
              </w:rPr>
            </w:r>
          </w:p>
        </w:tc>
        <w:tc>
          <w:tcPr>
            <w:tcW w:type="dxa" w:w="1440"/>
            <w:shd w:val="clear" w:color="auto" w:fill="F2F5EF"/>
          </w:tcPr>
          <w:p>
            <w:pPr>
              <w:spacing w:after="40"/>
            </w:pPr>
            <w:r/>
            <w:r>
              <w:rPr>
                <w:sz w:val="19"/>
              </w:rPr>
            </w:r>
          </w:p>
        </w:tc>
        <w:tc>
          <w:tcPr>
            <w:tcW w:type="dxa" w:w="1944"/>
            <w:shd w:val="clear" w:color="auto" w:fill="F2F5EF"/>
          </w:tcPr>
          <w:p>
            <w:pPr>
              <w:spacing w:after="40"/>
            </w:pPr>
            <w:r/>
            <w:r>
              <w:rPr>
                <w:sz w:val="19"/>
              </w:rPr>
            </w:r>
          </w:p>
        </w:tc>
        <w:tc>
          <w:tcPr>
            <w:tcW w:type="dxa" w:w="1224"/>
            <w:shd w:val="clear" w:color="auto" w:fill="F2F5EF"/>
          </w:tcPr>
          <w:p>
            <w:pPr>
              <w:spacing w:after="40"/>
            </w:pPr>
            <w:r/>
            <w:r>
              <w:rPr>
                <w:sz w:val="19"/>
              </w:rPr>
            </w:r>
          </w:p>
        </w:tc>
        <w:tc>
          <w:tcPr>
            <w:tcW w:type="dxa" w:w="864"/>
            <w:shd w:val="clear" w:color="auto" w:fill="F2F5EF"/>
          </w:tcPr>
          <w:p>
            <w:pPr>
              <w:spacing w:after="40"/>
            </w:pPr>
            <w:r/>
            <w:r>
              <w:rPr>
                <w:sz w:val="19"/>
              </w:rPr>
            </w:r>
          </w:p>
        </w:tc>
      </w:tr>
      <w:tr>
        <w:tc>
          <w:tcPr>
            <w:tcW w:type="dxa" w:w="2160"/>
          </w:tcPr>
          <w:p>
            <w:pPr>
              <w:spacing w:after="40"/>
            </w:pPr>
            <w:r/>
            <w:r>
              <w:rPr>
                <w:sz w:val="19"/>
              </w:rPr>
            </w:r>
          </w:p>
        </w:tc>
        <w:tc>
          <w:tcPr>
            <w:tcW w:type="dxa" w:w="1944"/>
          </w:tcPr>
          <w:p>
            <w:pPr>
              <w:spacing w:after="40"/>
            </w:pPr>
            <w:r/>
            <w:r>
              <w:rPr>
                <w:sz w:val="19"/>
              </w:rPr>
            </w:r>
          </w:p>
        </w:tc>
        <w:tc>
          <w:tcPr>
            <w:tcW w:type="dxa" w:w="1440"/>
          </w:tcPr>
          <w:p>
            <w:pPr>
              <w:spacing w:after="40"/>
            </w:pPr>
            <w:r/>
            <w:r>
              <w:rPr>
                <w:sz w:val="19"/>
              </w:rPr>
            </w:r>
          </w:p>
        </w:tc>
        <w:tc>
          <w:tcPr>
            <w:tcW w:type="dxa" w:w="1944"/>
          </w:tcPr>
          <w:p>
            <w:pPr>
              <w:spacing w:after="40"/>
            </w:pPr>
            <w:r/>
            <w:r>
              <w:rPr>
                <w:sz w:val="19"/>
              </w:rPr>
            </w:r>
          </w:p>
        </w:tc>
        <w:tc>
          <w:tcPr>
            <w:tcW w:type="dxa" w:w="1224"/>
          </w:tcPr>
          <w:p>
            <w:pPr>
              <w:spacing w:after="40"/>
            </w:pPr>
            <w:r/>
            <w:r>
              <w:rPr>
                <w:sz w:val="19"/>
              </w:rPr>
            </w:r>
          </w:p>
        </w:tc>
        <w:tc>
          <w:tcPr>
            <w:tcW w:type="dxa" w:w="864"/>
          </w:tcPr>
          <w:p>
            <w:pPr>
              <w:spacing w:after="40"/>
            </w:pPr>
            <w:r/>
            <w:r>
              <w:rPr>
                <w:sz w:val="19"/>
              </w:rPr>
            </w:r>
          </w:p>
        </w:tc>
      </w:tr>
      <w:tr>
        <w:tc>
          <w:tcPr>
            <w:tcW w:type="dxa" w:w="2160"/>
            <w:shd w:val="clear" w:color="auto" w:fill="F2F5EF"/>
          </w:tcPr>
          <w:p>
            <w:pPr>
              <w:spacing w:after="40"/>
            </w:pPr>
            <w:r/>
            <w:r>
              <w:rPr>
                <w:sz w:val="19"/>
              </w:rPr>
            </w:r>
          </w:p>
        </w:tc>
        <w:tc>
          <w:tcPr>
            <w:tcW w:type="dxa" w:w="1944"/>
            <w:shd w:val="clear" w:color="auto" w:fill="F2F5EF"/>
          </w:tcPr>
          <w:p>
            <w:pPr>
              <w:spacing w:after="40"/>
            </w:pPr>
            <w:r/>
            <w:r>
              <w:rPr>
                <w:sz w:val="19"/>
              </w:rPr>
            </w:r>
          </w:p>
        </w:tc>
        <w:tc>
          <w:tcPr>
            <w:tcW w:type="dxa" w:w="1440"/>
            <w:shd w:val="clear" w:color="auto" w:fill="F2F5EF"/>
          </w:tcPr>
          <w:p>
            <w:pPr>
              <w:spacing w:after="40"/>
            </w:pPr>
            <w:r/>
            <w:r>
              <w:rPr>
                <w:sz w:val="19"/>
              </w:rPr>
            </w:r>
          </w:p>
        </w:tc>
        <w:tc>
          <w:tcPr>
            <w:tcW w:type="dxa" w:w="1944"/>
            <w:shd w:val="clear" w:color="auto" w:fill="F2F5EF"/>
          </w:tcPr>
          <w:p>
            <w:pPr>
              <w:spacing w:after="40"/>
            </w:pPr>
            <w:r/>
            <w:r>
              <w:rPr>
                <w:sz w:val="19"/>
              </w:rPr>
            </w:r>
          </w:p>
        </w:tc>
        <w:tc>
          <w:tcPr>
            <w:tcW w:type="dxa" w:w="1224"/>
            <w:shd w:val="clear" w:color="auto" w:fill="F2F5EF"/>
          </w:tcPr>
          <w:p>
            <w:pPr>
              <w:spacing w:after="40"/>
            </w:pPr>
            <w:r/>
            <w:r>
              <w:rPr>
                <w:sz w:val="19"/>
              </w:rPr>
            </w:r>
          </w:p>
        </w:tc>
        <w:tc>
          <w:tcPr>
            <w:tcW w:type="dxa" w:w="864"/>
            <w:shd w:val="clear" w:color="auto" w:fill="F2F5EF"/>
          </w:tcPr>
          <w:p>
            <w:pPr>
              <w:spacing w:after="40"/>
            </w:pPr>
            <w:r/>
            <w:r>
              <w:rPr>
                <w:sz w:val="19"/>
              </w:rPr>
            </w:r>
          </w:p>
        </w:tc>
      </w:tr>
      <w:tr>
        <w:tc>
          <w:tcPr>
            <w:tcW w:type="dxa" w:w="2160"/>
          </w:tcPr>
          <w:p>
            <w:pPr>
              <w:spacing w:after="40"/>
            </w:pPr>
            <w:r/>
            <w:r>
              <w:rPr>
                <w:sz w:val="19"/>
              </w:rPr>
            </w:r>
          </w:p>
        </w:tc>
        <w:tc>
          <w:tcPr>
            <w:tcW w:type="dxa" w:w="1944"/>
          </w:tcPr>
          <w:p>
            <w:pPr>
              <w:spacing w:after="40"/>
            </w:pPr>
            <w:r/>
            <w:r>
              <w:rPr>
                <w:sz w:val="19"/>
              </w:rPr>
            </w:r>
          </w:p>
        </w:tc>
        <w:tc>
          <w:tcPr>
            <w:tcW w:type="dxa" w:w="1440"/>
          </w:tcPr>
          <w:p>
            <w:pPr>
              <w:spacing w:after="40"/>
            </w:pPr>
            <w:r/>
            <w:r>
              <w:rPr>
                <w:sz w:val="19"/>
              </w:rPr>
            </w:r>
          </w:p>
        </w:tc>
        <w:tc>
          <w:tcPr>
            <w:tcW w:type="dxa" w:w="1944"/>
          </w:tcPr>
          <w:p>
            <w:pPr>
              <w:spacing w:after="40"/>
            </w:pPr>
            <w:r/>
            <w:r>
              <w:rPr>
                <w:sz w:val="19"/>
              </w:rPr>
            </w:r>
          </w:p>
        </w:tc>
        <w:tc>
          <w:tcPr>
            <w:tcW w:type="dxa" w:w="1224"/>
          </w:tcPr>
          <w:p>
            <w:pPr>
              <w:spacing w:after="40"/>
            </w:pPr>
            <w:r/>
            <w:r>
              <w:rPr>
                <w:sz w:val="19"/>
              </w:rPr>
            </w:r>
          </w:p>
        </w:tc>
        <w:tc>
          <w:tcPr>
            <w:tcW w:type="dxa" w:w="864"/>
          </w:tcPr>
          <w:p>
            <w:pPr>
              <w:spacing w:after="40"/>
            </w:pPr>
            <w:r/>
            <w:r>
              <w:rPr>
                <w:sz w:val="19"/>
              </w:rPr>
            </w:r>
          </w:p>
        </w:tc>
      </w:tr>
      <w:tr>
        <w:tc>
          <w:tcPr>
            <w:tcW w:type="dxa" w:w="2160"/>
            <w:shd w:val="clear" w:color="auto" w:fill="F2F5EF"/>
          </w:tcPr>
          <w:p>
            <w:pPr>
              <w:spacing w:after="40"/>
            </w:pPr>
            <w:r/>
            <w:r>
              <w:rPr>
                <w:sz w:val="19"/>
              </w:rPr>
            </w:r>
          </w:p>
        </w:tc>
        <w:tc>
          <w:tcPr>
            <w:tcW w:type="dxa" w:w="1944"/>
            <w:shd w:val="clear" w:color="auto" w:fill="F2F5EF"/>
          </w:tcPr>
          <w:p>
            <w:pPr>
              <w:spacing w:after="40"/>
            </w:pPr>
            <w:r/>
            <w:r>
              <w:rPr>
                <w:sz w:val="19"/>
              </w:rPr>
            </w:r>
          </w:p>
        </w:tc>
        <w:tc>
          <w:tcPr>
            <w:tcW w:type="dxa" w:w="1440"/>
            <w:shd w:val="clear" w:color="auto" w:fill="F2F5EF"/>
          </w:tcPr>
          <w:p>
            <w:pPr>
              <w:spacing w:after="40"/>
            </w:pPr>
            <w:r/>
            <w:r>
              <w:rPr>
                <w:sz w:val="19"/>
              </w:rPr>
            </w:r>
          </w:p>
        </w:tc>
        <w:tc>
          <w:tcPr>
            <w:tcW w:type="dxa" w:w="1944"/>
            <w:shd w:val="clear" w:color="auto" w:fill="F2F5EF"/>
          </w:tcPr>
          <w:p>
            <w:pPr>
              <w:spacing w:after="40"/>
            </w:pPr>
            <w:r/>
            <w:r>
              <w:rPr>
                <w:sz w:val="19"/>
              </w:rPr>
            </w:r>
          </w:p>
        </w:tc>
        <w:tc>
          <w:tcPr>
            <w:tcW w:type="dxa" w:w="1224"/>
            <w:shd w:val="clear" w:color="auto" w:fill="F2F5EF"/>
          </w:tcPr>
          <w:p>
            <w:pPr>
              <w:spacing w:after="40"/>
            </w:pPr>
            <w:r/>
            <w:r>
              <w:rPr>
                <w:sz w:val="19"/>
              </w:rPr>
            </w:r>
          </w:p>
        </w:tc>
        <w:tc>
          <w:tcPr>
            <w:tcW w:type="dxa" w:w="864"/>
            <w:shd w:val="clear" w:color="auto" w:fill="F2F5EF"/>
          </w:tcPr>
          <w:p>
            <w:pPr>
              <w:spacing w:after="40"/>
            </w:pPr>
            <w:r/>
            <w:r>
              <w:rPr>
                <w:sz w:val="19"/>
              </w:rPr>
            </w:r>
          </w:p>
        </w:tc>
      </w:tr>
      <w:tr>
        <w:tc>
          <w:tcPr>
            <w:tcW w:type="dxa" w:w="2160"/>
          </w:tcPr>
          <w:p>
            <w:pPr>
              <w:spacing w:after="40"/>
            </w:pPr>
            <w:r/>
            <w:r>
              <w:rPr>
                <w:sz w:val="19"/>
              </w:rPr>
            </w:r>
          </w:p>
        </w:tc>
        <w:tc>
          <w:tcPr>
            <w:tcW w:type="dxa" w:w="1944"/>
          </w:tcPr>
          <w:p>
            <w:pPr>
              <w:spacing w:after="40"/>
            </w:pPr>
            <w:r/>
            <w:r>
              <w:rPr>
                <w:sz w:val="19"/>
              </w:rPr>
            </w:r>
          </w:p>
        </w:tc>
        <w:tc>
          <w:tcPr>
            <w:tcW w:type="dxa" w:w="1440"/>
          </w:tcPr>
          <w:p>
            <w:pPr>
              <w:spacing w:after="40"/>
            </w:pPr>
            <w:r/>
            <w:r>
              <w:rPr>
                <w:sz w:val="19"/>
              </w:rPr>
            </w:r>
          </w:p>
        </w:tc>
        <w:tc>
          <w:tcPr>
            <w:tcW w:type="dxa" w:w="1944"/>
          </w:tcPr>
          <w:p>
            <w:pPr>
              <w:spacing w:after="40"/>
            </w:pPr>
            <w:r/>
            <w:r>
              <w:rPr>
                <w:sz w:val="19"/>
              </w:rPr>
            </w:r>
          </w:p>
        </w:tc>
        <w:tc>
          <w:tcPr>
            <w:tcW w:type="dxa" w:w="1224"/>
          </w:tcPr>
          <w:p>
            <w:pPr>
              <w:spacing w:after="40"/>
            </w:pPr>
            <w:r/>
            <w:r>
              <w:rPr>
                <w:sz w:val="19"/>
              </w:rPr>
            </w:r>
          </w:p>
        </w:tc>
        <w:tc>
          <w:tcPr>
            <w:tcW w:type="dxa" w:w="864"/>
          </w:tcPr>
          <w:p>
            <w:pPr>
              <w:spacing w:after="40"/>
            </w:pPr>
            <w:r/>
            <w:r>
              <w:rPr>
                <w:sz w:val="19"/>
              </w:rPr>
            </w:r>
          </w:p>
        </w:tc>
      </w:tr>
      <w:tr>
        <w:tc>
          <w:tcPr>
            <w:tcW w:type="dxa" w:w="2160"/>
            <w:shd w:val="clear" w:color="auto" w:fill="F2F5EF"/>
          </w:tcPr>
          <w:p>
            <w:pPr>
              <w:spacing w:after="40"/>
            </w:pPr>
            <w:r/>
            <w:r>
              <w:rPr>
                <w:sz w:val="19"/>
              </w:rPr>
            </w:r>
          </w:p>
        </w:tc>
        <w:tc>
          <w:tcPr>
            <w:tcW w:type="dxa" w:w="1944"/>
            <w:shd w:val="clear" w:color="auto" w:fill="F2F5EF"/>
          </w:tcPr>
          <w:p>
            <w:pPr>
              <w:spacing w:after="40"/>
            </w:pPr>
            <w:r/>
            <w:r>
              <w:rPr>
                <w:sz w:val="19"/>
              </w:rPr>
            </w:r>
          </w:p>
        </w:tc>
        <w:tc>
          <w:tcPr>
            <w:tcW w:type="dxa" w:w="1440"/>
            <w:shd w:val="clear" w:color="auto" w:fill="F2F5EF"/>
          </w:tcPr>
          <w:p>
            <w:pPr>
              <w:spacing w:after="40"/>
            </w:pPr>
            <w:r/>
            <w:r>
              <w:rPr>
                <w:sz w:val="19"/>
              </w:rPr>
            </w:r>
          </w:p>
        </w:tc>
        <w:tc>
          <w:tcPr>
            <w:tcW w:type="dxa" w:w="1944"/>
            <w:shd w:val="clear" w:color="auto" w:fill="F2F5EF"/>
          </w:tcPr>
          <w:p>
            <w:pPr>
              <w:spacing w:after="40"/>
            </w:pPr>
            <w:r/>
            <w:r>
              <w:rPr>
                <w:sz w:val="19"/>
              </w:rPr>
            </w:r>
          </w:p>
        </w:tc>
        <w:tc>
          <w:tcPr>
            <w:tcW w:type="dxa" w:w="1224"/>
            <w:shd w:val="clear" w:color="auto" w:fill="F2F5EF"/>
          </w:tcPr>
          <w:p>
            <w:pPr>
              <w:spacing w:after="40"/>
            </w:pPr>
            <w:r/>
            <w:r>
              <w:rPr>
                <w:sz w:val="19"/>
              </w:rPr>
            </w:r>
          </w:p>
        </w:tc>
        <w:tc>
          <w:tcPr>
            <w:tcW w:type="dxa" w:w="864"/>
            <w:shd w:val="clear" w:color="auto" w:fill="F2F5EF"/>
          </w:tcPr>
          <w:p>
            <w:pPr>
              <w:spacing w:after="40"/>
            </w:pPr>
            <w:r/>
            <w:r>
              <w:rPr>
                <w:sz w:val="19"/>
              </w:rPr>
            </w:r>
          </w:p>
        </w:tc>
      </w:tr>
    </w:tbl>
    <w:p>
      <w:pPr>
        <w:spacing w:after="80"/>
      </w:pPr>
    </w:p>
    <w:p>
      <w:pPr>
        <w:spacing w:after="200"/>
        <w:pBdr>
          <w:bottom w:val="single" w:sz="8" w:color="C9D4BF"/>
        </w:pBdr>
      </w:pPr>
    </w:p>
    <w:p>
      <w:pPr>
        <w:spacing w:after="40"/>
      </w:pPr>
      <w:r>
        <w:rPr>
          <w:b w:val="0"/>
          <w:i w:val="0"/>
          <w:color w:val="595959"/>
          <w:sz w:val="18"/>
        </w:rPr>
        <w:t>Prepared by Safety Eye Guard - prescription and non-prescription safety eyewear programs. safetyeyeguard.com</w:t>
      </w:r>
    </w:p>
    <w:p>
      <w:pPr>
        <w:spacing w:after="120"/>
      </w:pPr>
      <w:r>
        <w:rPr>
          <w:b w:val="0"/>
          <w:i/>
          <w:color w:val="595959"/>
          <w:sz w:val="18"/>
        </w:rPr>
        <w:t>This template is a drafting aid, not legal advice. Review the finished policy against the regulations applying to your sites before adopting it.</w:t>
      </w:r>
    </w:p>
    <w:sectPr w:rsidR="00FC693F" w:rsidRPr="0006063C" w:rsidSect="00034616">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Prescription Safety Eyewear Program - Policy Template</dc:title>
  <dc:subject/>
  <dc:creator>Safety Eye Guard</dc:creator>
  <cp:keywords/>
  <dc:description>Customisable written policy template for employers operating a company-funded prescription safety eyewear program.</dc:description>
  <cp:lastModifiedBy/>
  <cp:revision>1</cp:revision>
  <dcterms:created xsi:type="dcterms:W3CDTF">2013-12-23T23:15:00Z</dcterms:created>
  <dcterms:modified xsi:type="dcterms:W3CDTF">2013-12-23T23:15:00Z</dcterms:modified>
  <cp:category/>
</cp:coreProperties>
</file>